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Entre: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 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7E4E65">
        <w:rPr>
          <w:szCs w:val="20"/>
          <w:lang w:val="es-ES"/>
        </w:rPr>
        <w:t>OMIClear, C.C., S.A., con sede en Avenida Casal Ribeiro nº 14 – 8º, 1000-092 Lisboa, registrada con el n.º único de matrícula y de identificación fiscal 506956318, con el capital social de €7.500.000,00, en este acto representada por ______ (nombre), ____ (función) en adelante denominada PRIMER OTORGANTE.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y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52762E">
        <w:rPr>
          <w:szCs w:val="20"/>
          <w:lang w:val="es-ES"/>
        </w:rPr>
        <w:t xml:space="preserve">(…), con sede en _________, capital social de __________, persona jurídica número ___, registrada en el Registro Mercantil de _______ con el número __, representada en este acto por ______ </w:t>
      </w:r>
      <w:r w:rsidRPr="00A16661">
        <w:rPr>
          <w:szCs w:val="20"/>
          <w:lang w:val="es-ES"/>
        </w:rPr>
        <w:t>(</w:t>
      </w:r>
      <w:r w:rsidRPr="00A16661">
        <w:rPr>
          <w:i/>
          <w:szCs w:val="20"/>
          <w:lang w:val="es-ES"/>
        </w:rPr>
        <w:t>nombre</w:t>
      </w:r>
      <w:r w:rsidRPr="00A16661">
        <w:rPr>
          <w:szCs w:val="20"/>
          <w:lang w:val="es-ES"/>
        </w:rPr>
        <w:t>)</w:t>
      </w:r>
      <w:r w:rsidRPr="0052762E">
        <w:rPr>
          <w:szCs w:val="20"/>
          <w:lang w:val="es-ES"/>
        </w:rPr>
        <w:t xml:space="preserve">, ____ </w:t>
      </w:r>
      <w:r w:rsidRPr="00A16661">
        <w:rPr>
          <w:szCs w:val="20"/>
          <w:lang w:val="es-ES"/>
        </w:rPr>
        <w:t>(</w:t>
      </w:r>
      <w:r w:rsidRPr="00A16661">
        <w:rPr>
          <w:i/>
          <w:szCs w:val="20"/>
          <w:lang w:val="es-ES"/>
        </w:rPr>
        <w:t>función</w:t>
      </w:r>
      <w:r w:rsidRPr="00A16661">
        <w:rPr>
          <w:szCs w:val="20"/>
          <w:lang w:val="es-ES"/>
        </w:rPr>
        <w:t>)</w:t>
      </w:r>
      <w:r w:rsidRPr="0052762E">
        <w:rPr>
          <w:szCs w:val="20"/>
          <w:lang w:val="es-ES"/>
        </w:rPr>
        <w:t xml:space="preserve"> en adelante denominado SEGUNDO OTORGANTE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Considerando que:</w:t>
      </w:r>
    </w:p>
    <w:p w:rsidR="008B2FA7" w:rsidRPr="00BB4FE1" w:rsidRDefault="008B2FA7" w:rsidP="008B2FA7">
      <w:pPr>
        <w:numPr>
          <w:ilvl w:val="0"/>
          <w:numId w:val="9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PRIMER OTORGANTE</w:t>
      </w:r>
      <w:r w:rsidRPr="00BB4FE1" w:rsidDel="006604A8">
        <w:rPr>
          <w:szCs w:val="20"/>
          <w:lang w:val="es-ES"/>
        </w:rPr>
        <w:t xml:space="preserve"> </w:t>
      </w:r>
      <w:r w:rsidRPr="00BB4FE1">
        <w:rPr>
          <w:szCs w:val="20"/>
          <w:lang w:val="es-ES"/>
        </w:rPr>
        <w:t xml:space="preserve">es la entidad gestora que asume las funciones de Contraparte Central </w:t>
      </w:r>
      <w:r>
        <w:rPr>
          <w:szCs w:val="20"/>
          <w:lang w:val="es-ES"/>
        </w:rPr>
        <w:t xml:space="preserve">y Sistema de Liquidación </w:t>
      </w:r>
      <w:r w:rsidRPr="00BB4FE1">
        <w:rPr>
          <w:szCs w:val="20"/>
          <w:lang w:val="es-ES"/>
        </w:rPr>
        <w:t>de las Posiciones registradas ante ella;</w:t>
      </w:r>
    </w:p>
    <w:p w:rsidR="008B2FA7" w:rsidRPr="00BB4FE1" w:rsidRDefault="008B2FA7" w:rsidP="008B2FA7">
      <w:pPr>
        <w:numPr>
          <w:ilvl w:val="0"/>
          <w:numId w:val="9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El SEGUNDO OTORGANTE reúne todos los requisitos impuestos por </w:t>
      </w:r>
      <w:r>
        <w:rPr>
          <w:szCs w:val="20"/>
          <w:lang w:val="es-ES"/>
        </w:rPr>
        <w:t>las Reglas de OMIClear</w:t>
      </w:r>
      <w:r w:rsidRPr="00BB4FE1">
        <w:rPr>
          <w:szCs w:val="20"/>
          <w:lang w:val="es-ES"/>
        </w:rPr>
        <w:t xml:space="preserve"> para el desempeño de las funciones de funciones de Agente de Liquidación Física </w:t>
      </w:r>
      <w:r>
        <w:rPr>
          <w:szCs w:val="20"/>
          <w:lang w:val="es-ES"/>
        </w:rPr>
        <w:t xml:space="preserve">en el </w:t>
      </w:r>
      <w:r w:rsidRPr="00BA2B52">
        <w:rPr>
          <w:szCs w:val="20"/>
          <w:lang w:val="es-ES"/>
        </w:rPr>
        <w:t>Servicio sobre Contratos de Derivados de Electricidad, en el ámbito del MIBEL</w:t>
      </w:r>
      <w:r w:rsidRPr="00BB4FE1">
        <w:rPr>
          <w:szCs w:val="20"/>
          <w:lang w:val="es-ES"/>
        </w:rPr>
        <w:t>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se celebra el presente Acuerdo, que se regirá por las siguientes cláusulas:</w:t>
      </w: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PRIMERA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El SEGUNDO OTORGANTE tiene derecho a actuar como Agente de Liquidación Física </w:t>
      </w:r>
      <w:r>
        <w:rPr>
          <w:szCs w:val="20"/>
          <w:lang w:val="es-ES"/>
        </w:rPr>
        <w:t xml:space="preserve">en el </w:t>
      </w:r>
      <w:r w:rsidRPr="00BA2B52">
        <w:rPr>
          <w:szCs w:val="20"/>
          <w:lang w:val="es-ES"/>
        </w:rPr>
        <w:t>Servicio sobre Contratos de Derivados de Electricidad</w:t>
      </w:r>
      <w:r>
        <w:rPr>
          <w:szCs w:val="20"/>
          <w:lang w:val="es-ES"/>
        </w:rPr>
        <w:t xml:space="preserve"> </w:t>
      </w:r>
      <w:r w:rsidRPr="00BB4FE1">
        <w:rPr>
          <w:szCs w:val="20"/>
          <w:lang w:val="es-ES"/>
        </w:rPr>
        <w:t>ante el PRIMER OTORGANTE, desempeñando las funciones y asumiendo las responsabilidades previstas en las Reglas de OMIClear y en el presente Acuerdo.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SEGUNDA</w:t>
      </w:r>
    </w:p>
    <w:p w:rsidR="008B2FA7" w:rsidRPr="00A16661" w:rsidRDefault="008B2FA7" w:rsidP="008B2FA7">
      <w:pPr>
        <w:pStyle w:val="PargrafodaLista"/>
        <w:numPr>
          <w:ilvl w:val="0"/>
          <w:numId w:val="15"/>
        </w:numPr>
        <w:spacing w:before="120" w:after="120"/>
        <w:rPr>
          <w:szCs w:val="20"/>
          <w:lang w:val="es-ES"/>
        </w:rPr>
      </w:pPr>
      <w:r w:rsidRPr="00A16661">
        <w:rPr>
          <w:szCs w:val="20"/>
          <w:lang w:val="es-ES"/>
        </w:rPr>
        <w:t>El SEGUNDO OTORGANTE declara y garantiza al PRIMER OTORGANTE que: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rPr>
          <w:szCs w:val="20"/>
          <w:lang w:val="es-ES"/>
        </w:rPr>
      </w:pPr>
      <w:r w:rsidRPr="00A16661">
        <w:rPr>
          <w:szCs w:val="20"/>
          <w:lang w:val="es-ES"/>
        </w:rPr>
        <w:t>Está constituida de conformidad con la ley de [</w:t>
      </w:r>
      <w:r w:rsidRPr="00A16661">
        <w:rPr>
          <w:szCs w:val="20"/>
          <w:highlight w:val="lightGray"/>
          <w:lang w:val="es-ES"/>
        </w:rPr>
        <w:t>Nacionalidad</w:t>
      </w:r>
      <w:r w:rsidRPr="00A16661">
        <w:rPr>
          <w:szCs w:val="20"/>
          <w:lang w:val="es-ES"/>
        </w:rPr>
        <w:t>];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ind w:hanging="357"/>
        <w:rPr>
          <w:szCs w:val="20"/>
          <w:lang w:val="es-ES"/>
        </w:rPr>
      </w:pPr>
      <w:r w:rsidRPr="00A16661">
        <w:rPr>
          <w:szCs w:val="20"/>
          <w:lang w:val="es-ES"/>
        </w:rPr>
        <w:t>Sus representantes están legal y estatutariamente habilitados para otorgar este Acuerdo, pudiendo, de esta forma, asumir las obligaciones que del mismo se derivan para el SEGUNDO OTORGANTE;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ind w:hanging="357"/>
        <w:rPr>
          <w:szCs w:val="20"/>
          <w:lang w:val="es-ES"/>
        </w:rPr>
      </w:pPr>
      <w:r w:rsidRPr="00A16661">
        <w:rPr>
          <w:szCs w:val="20"/>
          <w:lang w:val="es-ES"/>
        </w:rPr>
        <w:t>No existe ninguna limitación legal, administrativa, estatutaria o de cualquier otra naturaleza que impidan la plena celebración del presente Acuerdo, ni que sean excedidas en consecuencia del presente Acuerdo;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ind w:hanging="357"/>
        <w:rPr>
          <w:szCs w:val="20"/>
          <w:lang w:val="es-ES"/>
        </w:rPr>
      </w:pPr>
      <w:r w:rsidRPr="00A16661">
        <w:rPr>
          <w:szCs w:val="20"/>
          <w:lang w:val="es-ES"/>
        </w:rPr>
        <w:t>Las obligaciones que asume y las garantías mencionadas en este Acuerdo son válidas y vinculantes, y no existen restricciones que afecten a su cumplimiento integral y puntual o a su factibilidad;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ind w:hanging="357"/>
        <w:rPr>
          <w:szCs w:val="20"/>
          <w:lang w:val="es-ES"/>
        </w:rPr>
      </w:pPr>
      <w:r w:rsidRPr="00A16661">
        <w:rPr>
          <w:szCs w:val="20"/>
          <w:lang w:val="es-ES"/>
        </w:rPr>
        <w:t>El otorgamiento y la ejecución de este Acuerdo no viola ninguna ley, norma, reglamento, estatuto o directiva a la que el SEGUNDO OTORGANTE esté sujeto, ni constituye infracción a cualquier otro acuerdo o contrato en el que el SEGUNDO OTORGANTE sea parte, o al que esté vinculado;</w:t>
      </w:r>
    </w:p>
    <w:p w:rsidR="008B2FA7" w:rsidRPr="00A16661" w:rsidRDefault="008B2FA7" w:rsidP="008B2FA7">
      <w:pPr>
        <w:pStyle w:val="PargrafodaLista"/>
        <w:numPr>
          <w:ilvl w:val="0"/>
          <w:numId w:val="16"/>
        </w:numPr>
        <w:spacing w:before="120" w:after="120"/>
        <w:ind w:hanging="357"/>
        <w:rPr>
          <w:szCs w:val="20"/>
          <w:lang w:val="es-ES"/>
        </w:rPr>
      </w:pPr>
      <w:r w:rsidRPr="00A16661">
        <w:rPr>
          <w:szCs w:val="20"/>
          <w:lang w:val="es-ES"/>
        </w:rPr>
        <w:t>No ha sucedido ni se verifica ningún hecho o circunstancia que constituya o pueda venir a constituir incumplimiento del presente Acuerdo.</w:t>
      </w:r>
    </w:p>
    <w:p w:rsidR="008B2FA7" w:rsidRPr="00BB4FE1" w:rsidRDefault="008B2FA7" w:rsidP="008B2FA7">
      <w:pPr>
        <w:pStyle w:val="PargrafodaLista"/>
        <w:numPr>
          <w:ilvl w:val="0"/>
          <w:numId w:val="15"/>
        </w:numPr>
        <w:spacing w:before="120" w:after="120"/>
        <w:rPr>
          <w:szCs w:val="20"/>
          <w:lang w:val="es-ES"/>
        </w:rPr>
      </w:pPr>
      <w:r w:rsidRPr="00BB4FE1">
        <w:rPr>
          <w:szCs w:val="20"/>
          <w:lang w:val="es-ES"/>
        </w:rPr>
        <w:t>El SEGUNDO OTORGANTE declara tener pleno conocimiento y aceptar, de forma expresa y sin reservas, lo dispuesto en la Normativa Nacional y en las Reglas de OMIClear, compuestas por el Reglamento</w:t>
      </w:r>
      <w:r>
        <w:rPr>
          <w:szCs w:val="20"/>
          <w:lang w:val="es-ES"/>
        </w:rPr>
        <w:t xml:space="preserve"> y</w:t>
      </w:r>
      <w:r w:rsidRPr="00BB4FE1">
        <w:rPr>
          <w:szCs w:val="20"/>
          <w:lang w:val="es-ES"/>
        </w:rPr>
        <w:t xml:space="preserve"> Circulares, aplicables a las Posiciones registradas ante </w:t>
      </w:r>
      <w:r>
        <w:rPr>
          <w:szCs w:val="20"/>
          <w:lang w:val="es-ES"/>
        </w:rPr>
        <w:t>OMIClear</w:t>
      </w:r>
      <w:r w:rsidRPr="00BB4FE1">
        <w:rPr>
          <w:szCs w:val="20"/>
          <w:lang w:val="es-ES"/>
        </w:rPr>
        <w:t>, en particular:</w:t>
      </w:r>
    </w:p>
    <w:p w:rsidR="008B2FA7" w:rsidRPr="00BB4FE1" w:rsidRDefault="008B2FA7" w:rsidP="008B2FA7">
      <w:pPr>
        <w:numPr>
          <w:ilvl w:val="0"/>
          <w:numId w:val="8"/>
        </w:numPr>
        <w:spacing w:before="60" w:after="60"/>
        <w:ind w:left="709" w:hanging="331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La asunción de la responsabilidad ante los titulares de las Cuentas de Registro </w:t>
      </w:r>
      <w:r>
        <w:rPr>
          <w:szCs w:val="20"/>
          <w:lang w:val="es-ES"/>
        </w:rPr>
        <w:t>de Electricidad f</w:t>
      </w:r>
      <w:r w:rsidRPr="00BB4FE1">
        <w:rPr>
          <w:szCs w:val="20"/>
          <w:lang w:val="es-ES"/>
        </w:rPr>
        <w:t>ísicas con los cuales haya celebrado un Acuerdo de Liquidación Física;</w:t>
      </w:r>
    </w:p>
    <w:p w:rsidR="008B2FA7" w:rsidRPr="00BB4FE1" w:rsidRDefault="008B2FA7" w:rsidP="008B2FA7">
      <w:pPr>
        <w:numPr>
          <w:ilvl w:val="0"/>
          <w:numId w:val="8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Los procedimientos y previstos para los casos de incumplimiento, de acuerdo con las Reglas de OMIClear y de la Normativa </w:t>
      </w:r>
      <w:r>
        <w:rPr>
          <w:szCs w:val="20"/>
          <w:lang w:val="es-ES"/>
        </w:rPr>
        <w:t>Nacional que sea aplicable</w:t>
      </w:r>
      <w:r w:rsidRPr="00BB4FE1">
        <w:rPr>
          <w:szCs w:val="20"/>
          <w:lang w:val="es-ES"/>
        </w:rPr>
        <w:t>.</w:t>
      </w:r>
    </w:p>
    <w:p w:rsidR="008B2FA7" w:rsidRPr="00BB4FE1" w:rsidRDefault="008B2FA7" w:rsidP="008B2FA7">
      <w:pPr>
        <w:tabs>
          <w:tab w:val="num" w:pos="567"/>
        </w:tabs>
        <w:spacing w:before="60" w:after="60"/>
        <w:ind w:left="567" w:hanging="283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TERCERA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SEGUNDO OTORGANTE autoriza al PRIMER OTORGANTE: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>
        <w:rPr>
          <w:szCs w:val="20"/>
          <w:lang w:val="es-ES"/>
        </w:rPr>
        <w:t>A dar</w:t>
      </w:r>
      <w:r w:rsidRPr="00BB4FE1">
        <w:rPr>
          <w:szCs w:val="20"/>
          <w:lang w:val="es-ES"/>
        </w:rPr>
        <w:t xml:space="preserve"> conocimiento de este Acuerdo a OMIE;</w:t>
      </w:r>
    </w:p>
    <w:p w:rsidR="008B2FA7" w:rsidRPr="00A16661" w:rsidRDefault="008B2FA7" w:rsidP="008B2FA7">
      <w:pPr>
        <w:pStyle w:val="texto"/>
        <w:numPr>
          <w:ilvl w:val="0"/>
          <w:numId w:val="10"/>
        </w:numPr>
        <w:spacing w:before="120" w:after="120" w:line="360" w:lineRule="auto"/>
        <w:rPr>
          <w:sz w:val="20"/>
          <w:lang w:val="es-ES_tradnl"/>
        </w:rPr>
      </w:pPr>
      <w:r w:rsidRPr="00A16661">
        <w:rPr>
          <w:rFonts w:cs="Arial"/>
          <w:sz w:val="20"/>
          <w:lang w:val="es-ES_tradnl" w:eastAsia="en-US"/>
        </w:rPr>
        <w:t xml:space="preserve">A efectuar, de forma </w:t>
      </w:r>
      <w:r w:rsidRPr="00DF567F">
        <w:rPr>
          <w:rFonts w:cs="Arial"/>
          <w:sz w:val="20"/>
          <w:lang w:val="es-ES_tradnl" w:eastAsia="en-US"/>
        </w:rPr>
        <w:t>incondicional</w:t>
      </w:r>
      <w:r w:rsidRPr="00A16661">
        <w:rPr>
          <w:rFonts w:cs="Arial"/>
          <w:sz w:val="20"/>
          <w:lang w:val="es-ES_tradnl" w:eastAsia="en-US"/>
        </w:rPr>
        <w:t xml:space="preserve">, las notificaciones a </w:t>
      </w:r>
      <w:r w:rsidRPr="00A16661">
        <w:rPr>
          <w:sz w:val="20"/>
          <w:lang w:val="es-ES_tradnl"/>
        </w:rPr>
        <w:t xml:space="preserve">OMIE </w:t>
      </w:r>
      <w:r w:rsidRPr="00A16661">
        <w:rPr>
          <w:rFonts w:cs="Arial"/>
          <w:sz w:val="20"/>
          <w:lang w:val="es-ES_tradnl" w:eastAsia="en-US"/>
        </w:rPr>
        <w:t>de las</w:t>
      </w:r>
      <w:r w:rsidRPr="00A16661">
        <w:rPr>
          <w:sz w:val="20"/>
          <w:lang w:val="es-ES_tradnl"/>
        </w:rPr>
        <w:t xml:space="preserve"> Posiciones </w:t>
      </w:r>
      <w:r w:rsidRPr="00A16661">
        <w:rPr>
          <w:rFonts w:cs="Arial"/>
          <w:sz w:val="20"/>
          <w:lang w:val="es-ES_tradnl" w:eastAsia="en-US"/>
        </w:rPr>
        <w:t xml:space="preserve">resultantes de las Operaciones sobre Contratos de Derivados de Electricidad </w:t>
      </w:r>
      <w:r w:rsidRPr="00A16661">
        <w:rPr>
          <w:sz w:val="20"/>
          <w:lang w:val="es-ES_tradnl"/>
        </w:rPr>
        <w:t xml:space="preserve">que se encuentren </w:t>
      </w:r>
      <w:r w:rsidRPr="00A16661">
        <w:rPr>
          <w:rFonts w:cs="Arial"/>
          <w:sz w:val="20"/>
          <w:lang w:val="es-ES_tradnl" w:eastAsia="en-US"/>
        </w:rPr>
        <w:t xml:space="preserve">en </w:t>
      </w:r>
      <w:r w:rsidRPr="00A16661">
        <w:rPr>
          <w:sz w:val="20"/>
          <w:lang w:val="es-ES_tradnl"/>
        </w:rPr>
        <w:t>entrega</w:t>
      </w:r>
      <w:r w:rsidRPr="00A16661">
        <w:rPr>
          <w:rFonts w:cs="Arial"/>
          <w:sz w:val="20"/>
          <w:lang w:val="es-ES_tradnl" w:eastAsia="en-US"/>
        </w:rPr>
        <w:t xml:space="preserve"> física y que han sido registradas en las </w:t>
      </w:r>
      <w:r w:rsidRPr="00A16661">
        <w:rPr>
          <w:sz w:val="20"/>
          <w:lang w:val="es-ES_tradnl"/>
        </w:rPr>
        <w:t>Cuentas de Regist</w:t>
      </w:r>
      <w:r>
        <w:rPr>
          <w:sz w:val="20"/>
          <w:lang w:val="es-ES_tradnl"/>
        </w:rPr>
        <w:t>r</w:t>
      </w:r>
      <w:r w:rsidRPr="00A16661">
        <w:rPr>
          <w:sz w:val="20"/>
          <w:lang w:val="es-ES_tradnl"/>
        </w:rPr>
        <w:t xml:space="preserve">o </w:t>
      </w:r>
      <w:r w:rsidRPr="00A16661">
        <w:rPr>
          <w:rFonts w:cs="Arial"/>
          <w:sz w:val="20"/>
          <w:lang w:val="es-ES_tradnl" w:eastAsia="en-US"/>
        </w:rPr>
        <w:t xml:space="preserve">de Electricidad físicas y reflejadas en las respectivas Cuentas de Liquidación </w:t>
      </w:r>
      <w:r w:rsidRPr="00A16661">
        <w:rPr>
          <w:sz w:val="20"/>
          <w:lang w:val="es-ES_tradnl"/>
        </w:rPr>
        <w:t xml:space="preserve">Físicas </w:t>
      </w:r>
      <w:r w:rsidRPr="00A16661">
        <w:rPr>
          <w:rFonts w:cs="Arial"/>
          <w:sz w:val="20"/>
          <w:lang w:val="es-ES_tradnl" w:eastAsia="en-US"/>
        </w:rPr>
        <w:t xml:space="preserve">de Electricidad </w:t>
      </w:r>
      <w:r w:rsidRPr="00A16661">
        <w:rPr>
          <w:sz w:val="20"/>
          <w:lang w:val="es-ES_tradnl"/>
        </w:rPr>
        <w:t xml:space="preserve">sobre las cuales ha asumido la responsabilidad de </w:t>
      </w:r>
      <w:r w:rsidRPr="00A16661">
        <w:rPr>
          <w:rFonts w:cs="Arial"/>
          <w:sz w:val="20"/>
          <w:lang w:val="es-ES_tradnl" w:eastAsia="en-US"/>
        </w:rPr>
        <w:t xml:space="preserve">liquidación </w:t>
      </w:r>
      <w:r w:rsidRPr="00A16661">
        <w:rPr>
          <w:sz w:val="20"/>
          <w:lang w:val="es-ES_tradnl"/>
        </w:rPr>
        <w:t xml:space="preserve">física, </w:t>
      </w:r>
      <w:r w:rsidRPr="00A16661">
        <w:rPr>
          <w:rFonts w:cs="Arial"/>
          <w:sz w:val="20"/>
          <w:lang w:val="es-ES_tradnl"/>
        </w:rPr>
        <w:t xml:space="preserve">siendo esas notificaciones </w:t>
      </w:r>
      <w:r w:rsidRPr="00A16661">
        <w:rPr>
          <w:szCs w:val="22"/>
          <w:lang w:val="es-ES_tradnl"/>
        </w:rPr>
        <w:t>irrevocables</w:t>
      </w:r>
      <w:r w:rsidRPr="00A16661">
        <w:rPr>
          <w:rFonts w:cs="Arial"/>
          <w:sz w:val="20"/>
          <w:lang w:val="es-ES_tradnl"/>
        </w:rPr>
        <w:t xml:space="preserve">, </w:t>
      </w:r>
      <w:r w:rsidRPr="00A16661">
        <w:rPr>
          <w:szCs w:val="22"/>
          <w:lang w:val="es-ES_tradnl"/>
        </w:rPr>
        <w:t xml:space="preserve">según los términos de </w:t>
      </w:r>
      <w:r w:rsidRPr="00A16661">
        <w:rPr>
          <w:sz w:val="20"/>
          <w:lang w:val="es-ES_tradnl"/>
        </w:rPr>
        <w:t>las Reglas de OMIClear;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A supervisar, por los medios que considere más convenientes, el íntegro cumplimiento de sus obligaciones, asumiendo el compromiso de adoptar los comportamientos y de facilitar cuanta información sea necesaria con ese fin.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A solicitar a las Entidades de Supervisión la información que considere necesaria para la verificación de los requisitos de los que depende su admisión y mantenimiento en la calidad de </w:t>
      </w:r>
      <w:r>
        <w:rPr>
          <w:szCs w:val="20"/>
          <w:lang w:val="es-ES"/>
        </w:rPr>
        <w:t xml:space="preserve">Agente de Liquidación Física en el </w:t>
      </w:r>
      <w:r w:rsidRPr="00BA2B52">
        <w:rPr>
          <w:szCs w:val="20"/>
          <w:lang w:val="es-ES"/>
        </w:rPr>
        <w:t>Servicio sobre Contratos de Derivados de Electricidad</w:t>
      </w:r>
      <w:r w:rsidRPr="00BB4FE1">
        <w:rPr>
          <w:szCs w:val="20"/>
          <w:lang w:val="es-ES"/>
        </w:rPr>
        <w:t>, así como a transmitir, a dichas Entidades, las informaciones que le conciernan que éstas le soliciten;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A adoptar los procedimientos previstos en la Normativa </w:t>
      </w:r>
      <w:r>
        <w:rPr>
          <w:szCs w:val="20"/>
          <w:lang w:val="es-ES"/>
        </w:rPr>
        <w:t xml:space="preserve">Nacional </w:t>
      </w:r>
      <w:r w:rsidRPr="00BB4FE1">
        <w:rPr>
          <w:szCs w:val="20"/>
          <w:lang w:val="es-ES"/>
        </w:rPr>
        <w:t>y en las Reglas de OMIClear en caso de incumplimiento del SEGUNDO OTORGANTE o de un cliente suyo;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A proceder a la grabación de todas sus comunicaciones telefónicas, en particular de las instrucciones o pedidos que transmita, y utilizar dichas grabaciones como prueba de su realización, así como a efectos de supervisión realizada por el PRIMER OTORGANTE o por las Entidades competentes.</w:t>
      </w:r>
    </w:p>
    <w:p w:rsidR="008B2FA7" w:rsidRPr="00BB4FE1" w:rsidRDefault="008B2FA7" w:rsidP="008B2FA7">
      <w:pPr>
        <w:numPr>
          <w:ilvl w:val="0"/>
          <w:numId w:val="10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A proceder al tratamiento informático de la información que facilite en el momento de su admisión o en el curso del ejercicio de las funciones de </w:t>
      </w:r>
      <w:r>
        <w:rPr>
          <w:szCs w:val="20"/>
          <w:lang w:val="es-ES"/>
        </w:rPr>
        <w:t xml:space="preserve">Agente de Liquidación Física en el </w:t>
      </w:r>
      <w:r w:rsidRPr="00BA2B52">
        <w:rPr>
          <w:szCs w:val="20"/>
          <w:lang w:val="es-ES"/>
        </w:rPr>
        <w:t>Servicio sobre Contratos de Derivados de Electricidad</w:t>
      </w:r>
      <w:r w:rsidRPr="00BB4FE1">
        <w:rPr>
          <w:szCs w:val="20"/>
          <w:lang w:val="es-ES"/>
        </w:rPr>
        <w:t>, en especial los datos personales allí contenidos, especialmente con vista a la ejecución de este Acuerdo de Admisión, al ejercicio de los poderes del PRIMER OTORGANTE o con fines estadísticos, sin perjuicio del deber de secreto al que está vinculado el PRIMER OTORGANTE, teniendo el SEGUNDO OTORGANTE el derecho de acceder a los datos que constan en las citadas bases de datos y de exigir su actualización.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CUARTA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SEGUNDO OTORGANTE declara tener pleno conocimiento y aceptar, expresamente y sin reservas, que el PRIMER OTORGANTE no es responsable de cualquier perjuicio que pueda sufrir:</w:t>
      </w:r>
    </w:p>
    <w:p w:rsidR="008B2FA7" w:rsidRPr="00BB4FE1" w:rsidRDefault="008B2FA7" w:rsidP="008B2FA7">
      <w:pPr>
        <w:numPr>
          <w:ilvl w:val="0"/>
          <w:numId w:val="11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De resultas de la aplicación de lo dispuesto en las Reglas de OMIClear;</w:t>
      </w:r>
    </w:p>
    <w:p w:rsidR="008B2FA7" w:rsidRPr="00BB4FE1" w:rsidRDefault="008B2FA7" w:rsidP="008B2FA7">
      <w:pPr>
        <w:numPr>
          <w:ilvl w:val="0"/>
          <w:numId w:val="11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De resultas de fallos técnicos, fallos de electricidad, daños con fuego o agua, o cualesquiera otros eventos fuera del control del PRIMER OTORGANTE.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QUINTA</w:t>
      </w:r>
    </w:p>
    <w:p w:rsidR="008B2FA7" w:rsidRPr="00BB4FE1" w:rsidRDefault="008B2FA7" w:rsidP="008B2FA7">
      <w:pPr>
        <w:numPr>
          <w:ilvl w:val="0"/>
          <w:numId w:val="13"/>
        </w:numPr>
        <w:spacing w:before="60" w:after="60"/>
        <w:ind w:left="357" w:hanging="357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El SEGUNDO OTORGANTE debe utilizar los datos y la información facilitados por el PRIMER OTORGANTE únicamente para la liquidación </w:t>
      </w:r>
      <w:r>
        <w:rPr>
          <w:szCs w:val="20"/>
          <w:lang w:val="es-ES"/>
        </w:rPr>
        <w:t xml:space="preserve">física </w:t>
      </w:r>
      <w:r w:rsidRPr="00BB4FE1">
        <w:rPr>
          <w:szCs w:val="20"/>
          <w:lang w:val="es-ES"/>
        </w:rPr>
        <w:t>de las Posiciones, de acuerdo con las Reglas de OMIClear.</w:t>
      </w:r>
    </w:p>
    <w:p w:rsidR="008B2FA7" w:rsidRPr="00BB4FE1" w:rsidRDefault="008B2FA7" w:rsidP="008B2FA7">
      <w:pPr>
        <w:numPr>
          <w:ilvl w:val="0"/>
          <w:numId w:val="13"/>
        </w:numPr>
        <w:spacing w:before="60" w:after="60"/>
        <w:ind w:left="357" w:hanging="357"/>
        <w:rPr>
          <w:szCs w:val="20"/>
          <w:lang w:val="es-ES"/>
        </w:rPr>
      </w:pPr>
      <w:r w:rsidRPr="00BB4FE1">
        <w:rPr>
          <w:szCs w:val="20"/>
          <w:lang w:val="es-ES"/>
        </w:rPr>
        <w:t>El SEGUNDO OTORGANTE se hace cargo de los gastos relativos al suministro, instalación, configuración y conexión a los sistemas de información puestos a disposición por el PRIMER OTORGANTE, así como a la prestación de cualesquiera otros servicios asociados a su utilización.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SEXTA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PRIMER OTORGANTE no es responsable de la infraestructura de red de comunicaciones y de los medios informáticos (hardware y software) de acceso a los sistemas de información que pone a disposición.</w:t>
      </w:r>
    </w:p>
    <w:p w:rsidR="008B2FA7" w:rsidRPr="00BB4FE1" w:rsidRDefault="008B2FA7" w:rsidP="008B2FA7">
      <w:pPr>
        <w:spacing w:before="60" w:after="60"/>
        <w:rPr>
          <w:b/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SÉPTIMA</w:t>
      </w:r>
    </w:p>
    <w:p w:rsidR="008B2FA7" w:rsidRPr="00BB4FE1" w:rsidRDefault="008B2FA7" w:rsidP="008B2FA7">
      <w:pPr>
        <w:numPr>
          <w:ilvl w:val="0"/>
          <w:numId w:val="12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presente Acuerdo produce efectos a partir de la fecha de su celebración, estando vigente por tiempo indeterminado, y cesa:</w:t>
      </w:r>
    </w:p>
    <w:p w:rsidR="008B2FA7" w:rsidRPr="00BB4FE1" w:rsidRDefault="008B2FA7" w:rsidP="008B2FA7">
      <w:pPr>
        <w:numPr>
          <w:ilvl w:val="0"/>
          <w:numId w:val="14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Por rescisión, por escrito, por cualquiera de los OTORGANTES, con un preaviso mínimo, en relación a la fecha del cese, fijado en las Reglas de OMIClear;</w:t>
      </w:r>
    </w:p>
    <w:p w:rsidR="008B2FA7" w:rsidRPr="00BB4FE1" w:rsidRDefault="008B2FA7" w:rsidP="008B2FA7">
      <w:pPr>
        <w:numPr>
          <w:ilvl w:val="0"/>
          <w:numId w:val="14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Por cese de la calidad de </w:t>
      </w:r>
      <w:r>
        <w:rPr>
          <w:szCs w:val="20"/>
          <w:lang w:val="es-ES"/>
        </w:rPr>
        <w:t xml:space="preserve">Agente de Liquidación Física en el </w:t>
      </w:r>
      <w:r w:rsidRPr="00BA2B52">
        <w:rPr>
          <w:szCs w:val="20"/>
          <w:lang w:val="es-ES"/>
        </w:rPr>
        <w:t>Servicio sobre Contratos de Derivados de Electricidad</w:t>
      </w:r>
      <w:r w:rsidRPr="00BB4FE1">
        <w:rPr>
          <w:szCs w:val="20"/>
          <w:lang w:val="es-ES"/>
        </w:rPr>
        <w:t xml:space="preserve"> d</w:t>
      </w:r>
      <w:r>
        <w:rPr>
          <w:szCs w:val="20"/>
          <w:lang w:val="es-ES"/>
        </w:rPr>
        <w:t>el</w:t>
      </w:r>
      <w:r w:rsidRPr="00BB4FE1">
        <w:rPr>
          <w:szCs w:val="20"/>
          <w:lang w:val="es-ES"/>
        </w:rPr>
        <w:t xml:space="preserve"> SEGUNDO OTORGANTE, con arreglo a lo previsto en las Reglas de OMIClear.</w:t>
      </w:r>
    </w:p>
    <w:p w:rsidR="008B2FA7" w:rsidRPr="00BB4FE1" w:rsidRDefault="008B2FA7" w:rsidP="008B2FA7">
      <w:pPr>
        <w:numPr>
          <w:ilvl w:val="0"/>
          <w:numId w:val="12"/>
        </w:num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El cese, por cualquier motivo, del presente Acuerdo, no perjudica el deber de cumplimiento de todas las obligaciones derivadas de la actuación del SEGUNDO OTORGANTE, como </w:t>
      </w:r>
      <w:r>
        <w:rPr>
          <w:szCs w:val="20"/>
          <w:lang w:val="es-ES"/>
        </w:rPr>
        <w:t xml:space="preserve">Agente de Liquidación Física en el </w:t>
      </w:r>
      <w:r w:rsidRPr="00BA2B52">
        <w:rPr>
          <w:szCs w:val="20"/>
          <w:lang w:val="es-ES"/>
        </w:rPr>
        <w:t>Servicio sobre Contratos de Derivados de Electricidad</w:t>
      </w:r>
      <w:r w:rsidRPr="00BB4FE1">
        <w:rPr>
          <w:szCs w:val="20"/>
          <w:lang w:val="es-ES"/>
        </w:rPr>
        <w:t>.</w:t>
      </w:r>
    </w:p>
    <w:p w:rsidR="008B2FA7" w:rsidRPr="00BB4FE1" w:rsidRDefault="008B2FA7" w:rsidP="008B2FA7">
      <w:pPr>
        <w:spacing w:before="60" w:after="60"/>
        <w:rPr>
          <w:b/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color w:val="92D050"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OCTAVA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El presente Acuerdo se rige por la ley portuguesa</w:t>
      </w:r>
      <w:r>
        <w:rPr>
          <w:szCs w:val="20"/>
          <w:lang w:val="es-ES"/>
        </w:rPr>
        <w:t>.</w:t>
      </w: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jc w:val="center"/>
        <w:rPr>
          <w:b/>
          <w:bCs/>
          <w:iCs/>
          <w:szCs w:val="20"/>
          <w:lang w:val="es-ES"/>
        </w:rPr>
      </w:pPr>
      <w:r w:rsidRPr="00BB4FE1">
        <w:rPr>
          <w:b/>
          <w:bCs/>
          <w:iCs/>
          <w:color w:val="92D050"/>
          <w:szCs w:val="20"/>
          <w:lang w:val="es-ES"/>
        </w:rPr>
        <w:t>CLÁUSULA NOVENA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>Para la solución de cualquier diferencia relativa a la validez, interpretación o aplicación del presente Acuerdo, los OTORGANTES acuerdan, con renuncia expresa a cualquier otro fuero que pudiera corresponderles, someterse a la jurisdicción y competencia del Tribunal Civil de Lisboa.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Pr="00C51454" w:rsidRDefault="008B2FA7" w:rsidP="008B2FA7">
      <w:pPr>
        <w:spacing w:before="60" w:after="60"/>
        <w:rPr>
          <w:szCs w:val="20"/>
          <w:lang w:val="es-ES"/>
        </w:rPr>
      </w:pPr>
      <w:r w:rsidRPr="00E018D3">
        <w:rPr>
          <w:szCs w:val="20"/>
          <w:lang w:val="es-ES"/>
        </w:rPr>
        <w:t xml:space="preserve">El presente </w:t>
      </w:r>
      <w:r>
        <w:rPr>
          <w:szCs w:val="20"/>
          <w:lang w:val="es-ES"/>
        </w:rPr>
        <w:t>Acuerdo</w:t>
      </w:r>
      <w:r w:rsidRPr="00E018D3">
        <w:rPr>
          <w:szCs w:val="20"/>
          <w:lang w:val="es-ES"/>
        </w:rPr>
        <w:t xml:space="preserve"> se extiende en dos ejemplares, estando firmado por ambos otorgantes en prueba de su conformidad</w:t>
      </w:r>
      <w:r w:rsidRPr="00C51454">
        <w:rPr>
          <w:szCs w:val="20"/>
          <w:lang w:val="es-ES"/>
        </w:rPr>
        <w:t>.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b/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b/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  <w:r w:rsidRPr="00BB4FE1">
        <w:rPr>
          <w:szCs w:val="20"/>
          <w:lang w:val="es-ES"/>
        </w:rPr>
        <w:t xml:space="preserve">Lisboa, ____, de ___________ </w:t>
      </w:r>
      <w:proofErr w:type="spellStart"/>
      <w:r w:rsidRPr="00BB4FE1">
        <w:rPr>
          <w:szCs w:val="20"/>
          <w:lang w:val="es-ES"/>
        </w:rPr>
        <w:t>de</w:t>
      </w:r>
      <w:proofErr w:type="spellEnd"/>
      <w:r w:rsidRPr="00BB4FE1">
        <w:rPr>
          <w:szCs w:val="20"/>
          <w:lang w:val="es-ES"/>
        </w:rPr>
        <w:t xml:space="preserve"> ________</w:t>
      </w: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Default="008B2FA7" w:rsidP="008B2FA7">
      <w:pPr>
        <w:spacing w:before="60" w:after="60"/>
        <w:rPr>
          <w:szCs w:val="20"/>
          <w:lang w:val="es-ES"/>
        </w:rPr>
      </w:pPr>
    </w:p>
    <w:p w:rsidR="008B2FA7" w:rsidRPr="00BB4FE1" w:rsidRDefault="008B2FA7" w:rsidP="008B2FA7">
      <w:pPr>
        <w:spacing w:before="60" w:after="60"/>
        <w:rPr>
          <w:szCs w:val="20"/>
          <w:lang w:val="es-ES"/>
        </w:rPr>
      </w:pPr>
    </w:p>
    <w:tbl>
      <w:tblPr>
        <w:tblW w:w="8388" w:type="dxa"/>
        <w:jc w:val="center"/>
        <w:tblLook w:val="01E0" w:firstRow="1" w:lastRow="1" w:firstColumn="1" w:lastColumn="1" w:noHBand="0" w:noVBand="0"/>
      </w:tblPr>
      <w:tblGrid>
        <w:gridCol w:w="4248"/>
        <w:gridCol w:w="360"/>
        <w:gridCol w:w="3780"/>
      </w:tblGrid>
      <w:tr w:rsidR="008B2FA7" w:rsidRPr="007B5BEA" w:rsidTr="00620E24">
        <w:trPr>
          <w:jc w:val="center"/>
        </w:trPr>
        <w:tc>
          <w:tcPr>
            <w:tcW w:w="4248" w:type="dxa"/>
          </w:tcPr>
          <w:p w:rsidR="008B2FA7" w:rsidRPr="007B5BEA" w:rsidRDefault="008B2FA7" w:rsidP="00620E24">
            <w:pPr>
              <w:spacing w:before="60" w:after="60"/>
              <w:jc w:val="center"/>
              <w:rPr>
                <w:sz w:val="18"/>
                <w:szCs w:val="18"/>
                <w:lang w:val="es-ES"/>
              </w:rPr>
            </w:pPr>
            <w:r w:rsidRPr="007B5BEA">
              <w:rPr>
                <w:sz w:val="18"/>
                <w:szCs w:val="18"/>
                <w:lang w:val="es-ES"/>
              </w:rPr>
              <w:t>EL PRIMER OTORGANTE</w:t>
            </w:r>
          </w:p>
        </w:tc>
        <w:tc>
          <w:tcPr>
            <w:tcW w:w="360" w:type="dxa"/>
          </w:tcPr>
          <w:p w:rsidR="008B2FA7" w:rsidRPr="007B5BEA" w:rsidRDefault="008B2FA7" w:rsidP="00620E24">
            <w:pPr>
              <w:spacing w:before="60" w:after="6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780" w:type="dxa"/>
          </w:tcPr>
          <w:p w:rsidR="008B2FA7" w:rsidRPr="007B5BEA" w:rsidRDefault="008B2FA7" w:rsidP="00620E24">
            <w:pPr>
              <w:spacing w:before="60" w:after="60"/>
              <w:jc w:val="center"/>
              <w:rPr>
                <w:sz w:val="18"/>
                <w:szCs w:val="18"/>
                <w:lang w:val="es-ES"/>
              </w:rPr>
            </w:pPr>
            <w:r w:rsidRPr="007B5BEA">
              <w:rPr>
                <w:sz w:val="18"/>
                <w:szCs w:val="18"/>
                <w:lang w:val="es-ES"/>
              </w:rPr>
              <w:t>EL SEGUNDO OTORGANTE</w:t>
            </w:r>
          </w:p>
        </w:tc>
      </w:tr>
      <w:tr w:rsidR="008B2FA7" w:rsidRPr="007B5BEA" w:rsidTr="00620E24">
        <w:trPr>
          <w:jc w:val="center"/>
        </w:trPr>
        <w:tc>
          <w:tcPr>
            <w:tcW w:w="4248" w:type="dxa"/>
            <w:tcBorders>
              <w:bottom w:val="single" w:sz="4" w:space="0" w:color="auto"/>
            </w:tcBorders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  <w:p w:rsidR="008B2FA7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  <w:p w:rsidR="008B2FA7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</w:tc>
        <w:tc>
          <w:tcPr>
            <w:tcW w:w="360" w:type="dxa"/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Cs w:val="20"/>
                <w:lang w:val="es-ES"/>
              </w:rPr>
            </w:pPr>
          </w:p>
        </w:tc>
      </w:tr>
      <w:tr w:rsidR="008B2FA7" w:rsidRPr="007B5BEA" w:rsidTr="00620E24">
        <w:trPr>
          <w:jc w:val="center"/>
        </w:trPr>
        <w:tc>
          <w:tcPr>
            <w:tcW w:w="4248" w:type="dxa"/>
            <w:tcBorders>
              <w:top w:val="single" w:sz="4" w:space="0" w:color="auto"/>
            </w:tcBorders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 w:val="16"/>
                <w:szCs w:val="16"/>
                <w:lang w:val="en-GB"/>
              </w:rPr>
            </w:pPr>
            <w:r w:rsidRPr="007B5BEA">
              <w:rPr>
                <w:i/>
                <w:sz w:val="16"/>
                <w:szCs w:val="16"/>
                <w:lang w:val="en-US"/>
              </w:rPr>
              <w:t>OMIClear, C.C., S.A.</w:t>
            </w:r>
          </w:p>
        </w:tc>
        <w:tc>
          <w:tcPr>
            <w:tcW w:w="360" w:type="dxa"/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 w:val="16"/>
                <w:szCs w:val="16"/>
                <w:lang w:val="en-GB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8B2FA7" w:rsidRPr="007B5BEA" w:rsidRDefault="008B2FA7" w:rsidP="00620E24">
            <w:pPr>
              <w:spacing w:before="60" w:after="60"/>
              <w:jc w:val="center"/>
              <w:rPr>
                <w:i/>
                <w:sz w:val="16"/>
                <w:szCs w:val="16"/>
                <w:lang w:val="es-ES"/>
              </w:rPr>
            </w:pPr>
            <w:r w:rsidRPr="007B5BEA">
              <w:rPr>
                <w:i/>
                <w:sz w:val="16"/>
                <w:szCs w:val="16"/>
                <w:lang w:val="es-ES"/>
              </w:rPr>
              <w:t>(identificación del SEGUNDO OTORGANTE)</w:t>
            </w:r>
          </w:p>
        </w:tc>
      </w:tr>
    </w:tbl>
    <w:p w:rsidR="008B2FA7" w:rsidRDefault="008B2FA7" w:rsidP="008B2FA7">
      <w:pPr>
        <w:spacing w:before="60" w:after="60"/>
        <w:rPr>
          <w:b/>
          <w:color w:val="7F7F7F"/>
          <w:szCs w:val="20"/>
          <w:lang w:val="es-ES"/>
        </w:rPr>
      </w:pPr>
    </w:p>
    <w:p w:rsidR="008B2FA7" w:rsidRDefault="008B2FA7" w:rsidP="008B2FA7">
      <w:pPr>
        <w:spacing w:before="60" w:after="60"/>
        <w:rPr>
          <w:b/>
          <w:color w:val="7F7F7F"/>
          <w:szCs w:val="20"/>
          <w:lang w:val="es-ES"/>
        </w:rPr>
      </w:pPr>
    </w:p>
    <w:p w:rsidR="008B2FA7" w:rsidRDefault="008B2FA7" w:rsidP="008B2FA7">
      <w:pPr>
        <w:spacing w:before="60" w:after="60"/>
        <w:rPr>
          <w:b/>
          <w:color w:val="7F7F7F"/>
          <w:szCs w:val="20"/>
          <w:lang w:val="es-ES"/>
        </w:rPr>
      </w:pPr>
    </w:p>
    <w:p w:rsidR="00D74C3E" w:rsidRPr="00D74C3E" w:rsidRDefault="00D74C3E" w:rsidP="008B2FA7">
      <w:pPr>
        <w:spacing w:before="120" w:after="120"/>
        <w:rPr>
          <w:lang w:val="es-ES"/>
        </w:rPr>
      </w:pPr>
    </w:p>
    <w:sectPr w:rsidR="00D74C3E" w:rsidRPr="00D74C3E" w:rsidSect="008B2FA7">
      <w:headerReference w:type="default" r:id="rId7"/>
      <w:footerReference w:type="default" r:id="rId8"/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0E24" w:rsidRDefault="00620E24">
      <w:r>
        <w:separator/>
      </w:r>
    </w:p>
  </w:endnote>
  <w:endnote w:type="continuationSeparator" w:id="0">
    <w:p w:rsidR="00620E24" w:rsidRDefault="0062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0B8A" w:rsidRPr="002D696F" w:rsidRDefault="00690B8A" w:rsidP="00690B8A">
    <w:pPr>
      <w:pStyle w:val="Rodap"/>
      <w:pBdr>
        <w:top w:val="single" w:sz="4" w:space="2" w:color="92D050"/>
      </w:pBdr>
      <w:tabs>
        <w:tab w:val="clear" w:pos="8504"/>
        <w:tab w:val="right" w:pos="8505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="008B2FA7" w:rsidRPr="008B2FA7">
      <w:rPr>
        <w:noProof/>
        <w:color w:val="BFBFBF"/>
        <w:sz w:val="16"/>
        <w:szCs w:val="14"/>
      </w:rPr>
      <w:t>5</w:t>
    </w:r>
    <w:r w:rsidRPr="002D696F">
      <w:rPr>
        <w:color w:val="BFBFBF"/>
        <w:sz w:val="16"/>
        <w:szCs w:val="14"/>
      </w:rPr>
      <w:fldChar w:fldCharType="end"/>
    </w:r>
  </w:p>
  <w:p w:rsidR="00690B8A" w:rsidRPr="002D696F" w:rsidRDefault="00690B8A" w:rsidP="00690B8A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:rsidR="003E0930" w:rsidRPr="00690B8A" w:rsidRDefault="00690B8A" w:rsidP="00690B8A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E-mail: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0E24" w:rsidRDefault="00620E24">
      <w:r>
        <w:separator/>
      </w:r>
    </w:p>
  </w:footnote>
  <w:footnote w:type="continuationSeparator" w:id="0">
    <w:p w:rsidR="00620E24" w:rsidRDefault="0062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17E9" w:rsidRDefault="003E0930" w:rsidP="003E0930">
    <w:pPr>
      <w:pStyle w:val="Cabealho"/>
      <w:tabs>
        <w:tab w:val="clear" w:pos="8504"/>
      </w:tabs>
      <w:ind w:right="-143"/>
      <w:jc w:val="right"/>
    </w:pPr>
    <w:r>
      <w:rPr>
        <w:noProof/>
        <w:lang w:eastAsia="pt-PT"/>
      </w:rPr>
      <w:pict>
        <v:group id="_x0000_s2049" style="position:absolute;left:0;text-align:left;margin-left:-22.05pt;margin-top:4.8pt;width:299.35pt;height:80.8pt;z-index:1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2050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>
              <w:txbxContent>
                <w:p w:rsidR="003E0930" w:rsidRPr="002060A9" w:rsidRDefault="003E0930" w:rsidP="003E0930">
                  <w:pPr>
                    <w:rPr>
                      <w:b/>
                      <w:color w:val="7F7F7F"/>
                      <w:lang w:val="es-ES"/>
                    </w:rPr>
                  </w:pPr>
                  <w:r>
                    <w:rPr>
                      <w:b/>
                      <w:color w:val="7F7F7F"/>
                      <w:lang w:val="es-ES"/>
                    </w:rPr>
                    <w:t>Modelo C06</w:t>
                  </w:r>
                  <w:r w:rsidRPr="002060A9">
                    <w:rPr>
                      <w:b/>
                      <w:color w:val="7F7F7F"/>
                      <w:lang w:val="es-ES"/>
                    </w:rPr>
                    <w:t xml:space="preserve"> </w:t>
                  </w:r>
                </w:p>
                <w:p w:rsidR="003E0930" w:rsidRPr="002060A9" w:rsidRDefault="003E0930" w:rsidP="008B2FA7">
                  <w:pPr>
                    <w:spacing w:before="0" w:line="276" w:lineRule="auto"/>
                    <w:rPr>
                      <w:color w:val="7F7F7F"/>
                      <w:lang w:val="es-ES"/>
                    </w:rPr>
                  </w:pPr>
                  <w:r>
                    <w:rPr>
                      <w:color w:val="7F7F7F"/>
                      <w:szCs w:val="20"/>
                      <w:lang w:val="es-ES"/>
                    </w:rPr>
                    <w:t>Acuerdo de Admisión de Agente de Liquidación Física</w:t>
                  </w:r>
                  <w:r w:rsidR="008B2FA7">
                    <w:rPr>
                      <w:color w:val="7F7F7F"/>
                      <w:szCs w:val="20"/>
                      <w:lang w:val="es-ES"/>
                    </w:rPr>
                    <w:t xml:space="preserve"> en el Servicio sobre Contratos de Derivados de Electricidad, en el ámbito del MIBEL</w:t>
                  </w:r>
                </w:p>
              </w:txbxContent>
            </v:textbox>
          </v:shape>
          <v:rect id="Rectângulo 31" o:spid="_x0000_s2051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 w:rsidR="00AD30C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5pt;height:33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0C9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2"/>
        <w:szCs w:val="22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03268"/>
    <w:multiLevelType w:val="hybridMultilevel"/>
    <w:tmpl w:val="6A42E9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C4477"/>
    <w:multiLevelType w:val="hybridMultilevel"/>
    <w:tmpl w:val="CBC00898"/>
    <w:lvl w:ilvl="0" w:tplc="E9085C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F513B1"/>
    <w:multiLevelType w:val="hybridMultilevel"/>
    <w:tmpl w:val="65D8AF90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A074B8"/>
    <w:multiLevelType w:val="hybridMultilevel"/>
    <w:tmpl w:val="280A5E28"/>
    <w:lvl w:ilvl="0" w:tplc="F6D86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540" w:hanging="360"/>
      </w:pPr>
    </w:lvl>
    <w:lvl w:ilvl="2" w:tplc="0816001B" w:tentative="1">
      <w:start w:val="1"/>
      <w:numFmt w:val="lowerRoman"/>
      <w:lvlText w:val="%3."/>
      <w:lvlJc w:val="right"/>
      <w:pPr>
        <w:ind w:left="1260" w:hanging="180"/>
      </w:pPr>
    </w:lvl>
    <w:lvl w:ilvl="3" w:tplc="0816000F" w:tentative="1">
      <w:start w:val="1"/>
      <w:numFmt w:val="decimal"/>
      <w:lvlText w:val="%4."/>
      <w:lvlJc w:val="left"/>
      <w:pPr>
        <w:ind w:left="1980" w:hanging="360"/>
      </w:pPr>
    </w:lvl>
    <w:lvl w:ilvl="4" w:tplc="08160019" w:tentative="1">
      <w:start w:val="1"/>
      <w:numFmt w:val="lowerLetter"/>
      <w:lvlText w:val="%5."/>
      <w:lvlJc w:val="left"/>
      <w:pPr>
        <w:ind w:left="2700" w:hanging="360"/>
      </w:pPr>
    </w:lvl>
    <w:lvl w:ilvl="5" w:tplc="0816001B" w:tentative="1">
      <w:start w:val="1"/>
      <w:numFmt w:val="lowerRoman"/>
      <w:lvlText w:val="%6."/>
      <w:lvlJc w:val="right"/>
      <w:pPr>
        <w:ind w:left="3420" w:hanging="180"/>
      </w:pPr>
    </w:lvl>
    <w:lvl w:ilvl="6" w:tplc="0816000F" w:tentative="1">
      <w:start w:val="1"/>
      <w:numFmt w:val="decimal"/>
      <w:lvlText w:val="%7."/>
      <w:lvlJc w:val="left"/>
      <w:pPr>
        <w:ind w:left="4140" w:hanging="360"/>
      </w:pPr>
    </w:lvl>
    <w:lvl w:ilvl="7" w:tplc="08160019" w:tentative="1">
      <w:start w:val="1"/>
      <w:numFmt w:val="lowerLetter"/>
      <w:lvlText w:val="%8."/>
      <w:lvlJc w:val="left"/>
      <w:pPr>
        <w:ind w:left="4860" w:hanging="360"/>
      </w:pPr>
    </w:lvl>
    <w:lvl w:ilvl="8" w:tplc="0816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 w15:restartNumberingAfterBreak="0">
    <w:nsid w:val="1E6D7292"/>
    <w:multiLevelType w:val="hybridMultilevel"/>
    <w:tmpl w:val="CBC00898"/>
    <w:lvl w:ilvl="0" w:tplc="E9085C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54BB4B3D"/>
    <w:multiLevelType w:val="hybridMultilevel"/>
    <w:tmpl w:val="623E7C72"/>
    <w:lvl w:ilvl="0" w:tplc="7A349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1F28BC"/>
    <w:multiLevelType w:val="multilevel"/>
    <w:tmpl w:val="5ED69078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</w:lvl>
    <w:lvl w:ilvl="1">
      <w:start w:val="1"/>
      <w:numFmt w:val="upperRoman"/>
      <w:pStyle w:val="Seco"/>
      <w:suff w:val="nothing"/>
      <w:lvlText w:val="Secção %2"/>
      <w:lvlJc w:val="left"/>
      <w:pPr>
        <w:ind w:left="4320" w:firstLine="0"/>
      </w:pPr>
      <w:rPr>
        <w:color w:val="FF0000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960" w:firstLine="0"/>
      </w:pPr>
      <w:rPr>
        <w:color w:val="FF0000"/>
        <w:lang w:val="es-ES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</w:lvl>
  </w:abstractNum>
  <w:abstractNum w:abstractNumId="9" w15:restartNumberingAfterBreak="0">
    <w:nsid w:val="61B36680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F3686"/>
    <w:multiLevelType w:val="hybridMultilevel"/>
    <w:tmpl w:val="DF543D4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6D86A8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6D982948"/>
    <w:multiLevelType w:val="hybridMultilevel"/>
    <w:tmpl w:val="B5B6A5F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900" w:hanging="360"/>
      </w:pPr>
    </w:lvl>
    <w:lvl w:ilvl="2" w:tplc="0816001B" w:tentative="1">
      <w:start w:val="1"/>
      <w:numFmt w:val="lowerRoman"/>
      <w:lvlText w:val="%3."/>
      <w:lvlJc w:val="right"/>
      <w:pPr>
        <w:ind w:left="1620" w:hanging="180"/>
      </w:pPr>
    </w:lvl>
    <w:lvl w:ilvl="3" w:tplc="0816000F" w:tentative="1">
      <w:start w:val="1"/>
      <w:numFmt w:val="decimal"/>
      <w:lvlText w:val="%4."/>
      <w:lvlJc w:val="left"/>
      <w:pPr>
        <w:ind w:left="2340" w:hanging="360"/>
      </w:pPr>
    </w:lvl>
    <w:lvl w:ilvl="4" w:tplc="08160019" w:tentative="1">
      <w:start w:val="1"/>
      <w:numFmt w:val="lowerLetter"/>
      <w:lvlText w:val="%5."/>
      <w:lvlJc w:val="left"/>
      <w:pPr>
        <w:ind w:left="3060" w:hanging="360"/>
      </w:pPr>
    </w:lvl>
    <w:lvl w:ilvl="5" w:tplc="0816001B" w:tentative="1">
      <w:start w:val="1"/>
      <w:numFmt w:val="lowerRoman"/>
      <w:lvlText w:val="%6."/>
      <w:lvlJc w:val="right"/>
      <w:pPr>
        <w:ind w:left="3780" w:hanging="180"/>
      </w:pPr>
    </w:lvl>
    <w:lvl w:ilvl="6" w:tplc="0816000F" w:tentative="1">
      <w:start w:val="1"/>
      <w:numFmt w:val="decimal"/>
      <w:lvlText w:val="%7."/>
      <w:lvlJc w:val="left"/>
      <w:pPr>
        <w:ind w:left="4500" w:hanging="360"/>
      </w:pPr>
    </w:lvl>
    <w:lvl w:ilvl="7" w:tplc="08160019" w:tentative="1">
      <w:start w:val="1"/>
      <w:numFmt w:val="lowerLetter"/>
      <w:lvlText w:val="%8."/>
      <w:lvlJc w:val="left"/>
      <w:pPr>
        <w:ind w:left="5220" w:hanging="360"/>
      </w:pPr>
    </w:lvl>
    <w:lvl w:ilvl="8" w:tplc="0816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6F69637F"/>
    <w:multiLevelType w:val="hybridMultilevel"/>
    <w:tmpl w:val="E2F4613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685DDD"/>
    <w:multiLevelType w:val="hybridMultilevel"/>
    <w:tmpl w:val="67A0EC58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2"/>
  </w:num>
  <w:num w:numId="11">
    <w:abstractNumId w:val="6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4C3E"/>
    <w:rsid w:val="0036066D"/>
    <w:rsid w:val="003E0930"/>
    <w:rsid w:val="003F3EB3"/>
    <w:rsid w:val="00470573"/>
    <w:rsid w:val="005968CB"/>
    <w:rsid w:val="00620E24"/>
    <w:rsid w:val="00690B8A"/>
    <w:rsid w:val="006F72D3"/>
    <w:rsid w:val="00725CD4"/>
    <w:rsid w:val="007417E9"/>
    <w:rsid w:val="008B2FA7"/>
    <w:rsid w:val="008D1CBF"/>
    <w:rsid w:val="00962038"/>
    <w:rsid w:val="00993534"/>
    <w:rsid w:val="009D0E28"/>
    <w:rsid w:val="009D516C"/>
    <w:rsid w:val="009F2CE4"/>
    <w:rsid w:val="00AD30C9"/>
    <w:rsid w:val="00B42B2C"/>
    <w:rsid w:val="00B9584D"/>
    <w:rsid w:val="00CE51A9"/>
    <w:rsid w:val="00D002FB"/>
    <w:rsid w:val="00D219B8"/>
    <w:rsid w:val="00D74C3E"/>
    <w:rsid w:val="00E258F4"/>
    <w:rsid w:val="00E4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4CBA9A3-21F2-4171-8831-E2F1920B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4C3E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D74C3E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Artigo">
    <w:name w:val="Artigo"/>
    <w:basedOn w:val="Normal"/>
    <w:next w:val="Normal"/>
    <w:rsid w:val="00D74C3E"/>
    <w:pPr>
      <w:keepNext/>
      <w:keepLines/>
      <w:numPr>
        <w:ilvl w:val="2"/>
        <w:numId w:val="1"/>
      </w:numPr>
      <w:spacing w:before="0"/>
      <w:jc w:val="center"/>
      <w:outlineLvl w:val="2"/>
    </w:pPr>
    <w:rPr>
      <w:sz w:val="22"/>
    </w:rPr>
  </w:style>
  <w:style w:type="paragraph" w:customStyle="1" w:styleId="Seco">
    <w:name w:val="Secção"/>
    <w:basedOn w:val="Artigo"/>
    <w:next w:val="Artigo"/>
    <w:rsid w:val="00D74C3E"/>
    <w:pPr>
      <w:numPr>
        <w:ilvl w:val="1"/>
      </w:numPr>
      <w:outlineLvl w:val="1"/>
    </w:pPr>
    <w:rPr>
      <w:b/>
      <w:caps/>
      <w:sz w:val="24"/>
    </w:rPr>
  </w:style>
  <w:style w:type="paragraph" w:customStyle="1" w:styleId="Captulo">
    <w:name w:val="Capítulo"/>
    <w:basedOn w:val="Artigo"/>
    <w:next w:val="Seco"/>
    <w:rsid w:val="00D74C3E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Corpoabc">
    <w:name w:val="Corpo abc"/>
    <w:basedOn w:val="Normal"/>
    <w:rsid w:val="00D74C3E"/>
    <w:pPr>
      <w:numPr>
        <w:ilvl w:val="4"/>
        <w:numId w:val="1"/>
      </w:numPr>
      <w:outlineLvl w:val="4"/>
    </w:pPr>
  </w:style>
  <w:style w:type="paragraph" w:customStyle="1" w:styleId="texto">
    <w:name w:val="texto"/>
    <w:basedOn w:val="Normal"/>
    <w:rsid w:val="00D74C3E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abealho">
    <w:name w:val="header"/>
    <w:basedOn w:val="Normal"/>
    <w:rsid w:val="009D516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rsid w:val="009D516C"/>
    <w:pPr>
      <w:tabs>
        <w:tab w:val="center" w:pos="4252"/>
        <w:tab w:val="right" w:pos="8504"/>
      </w:tabs>
    </w:pPr>
  </w:style>
  <w:style w:type="paragraph" w:styleId="PargrafodaLista">
    <w:name w:val="List Paragraph"/>
    <w:basedOn w:val="Normal"/>
    <w:uiPriority w:val="34"/>
    <w:qFormat/>
    <w:rsid w:val="00AD30C9"/>
    <w:pPr>
      <w:ind w:left="708"/>
    </w:pPr>
  </w:style>
  <w:style w:type="character" w:customStyle="1" w:styleId="RodapCarcter">
    <w:name w:val="Rodapé Carácter"/>
    <w:link w:val="Rodap"/>
    <w:rsid w:val="003E0930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0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1245</Words>
  <Characters>6726</Characters>
  <Application>Microsoft Office Word</Application>
  <DocSecurity>4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C06</vt:lpstr>
    </vt:vector>
  </TitlesOfParts>
  <Company>REN, SA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C06</dc:title>
  <dc:subject/>
  <dc:creator>dribeiro</dc:creator>
  <cp:keywords/>
  <dc:description/>
  <cp:lastModifiedBy>OMIClear</cp:lastModifiedBy>
  <cp:revision>11</cp:revision>
  <dcterms:created xsi:type="dcterms:W3CDTF">2009-03-23T11:41:00Z</dcterms:created>
  <dcterms:modified xsi:type="dcterms:W3CDTF">2017-11-24T11:53:00Z</dcterms:modified>
</cp:coreProperties>
</file>