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27E8" w:rsidRPr="007D20A4" w:rsidRDefault="005327E8" w:rsidP="005327E8">
      <w:pPr>
        <w:spacing w:before="0"/>
        <w:rPr>
          <w:szCs w:val="20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Entre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(…)</w:t>
      </w:r>
      <w:r w:rsidR="00E470F1">
        <w:rPr>
          <w:szCs w:val="22"/>
          <w:lang w:val="es-ES"/>
        </w:rPr>
        <w:t xml:space="preserve"> (Miembro Compensador)</w:t>
      </w:r>
      <w:r w:rsidRPr="00EF5C5D">
        <w:rPr>
          <w:szCs w:val="22"/>
          <w:lang w:val="es-ES"/>
        </w:rPr>
        <w:t>, en adelante denominado PRIMER OTORGANTE,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y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(…)</w:t>
      </w:r>
      <w:r w:rsidR="00E470F1">
        <w:rPr>
          <w:szCs w:val="22"/>
          <w:lang w:val="es-ES"/>
        </w:rPr>
        <w:t xml:space="preserve"> (Miembro Negociador)</w:t>
      </w:r>
      <w:r w:rsidRPr="00EF5C5D">
        <w:rPr>
          <w:szCs w:val="22"/>
          <w:lang w:val="es-ES"/>
        </w:rPr>
        <w:t>, en adelante denominado SEGUNDO OTORGANTE,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y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(…)</w:t>
      </w:r>
      <w:r w:rsidR="00E470F1">
        <w:rPr>
          <w:szCs w:val="22"/>
          <w:lang w:val="es-ES"/>
        </w:rPr>
        <w:t xml:space="preserve"> (Cliente)</w:t>
      </w:r>
      <w:r w:rsidRPr="00EF5C5D">
        <w:rPr>
          <w:szCs w:val="22"/>
          <w:lang w:val="es-ES"/>
        </w:rPr>
        <w:t>, en adelante denominado TERCER OTORGANTE.</w:t>
      </w: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 w:after="120"/>
        <w:rPr>
          <w:szCs w:val="22"/>
          <w:lang w:val="es-ES"/>
        </w:rPr>
      </w:pPr>
      <w:r w:rsidRPr="00EF5C5D">
        <w:rPr>
          <w:szCs w:val="22"/>
          <w:lang w:val="es-ES"/>
        </w:rPr>
        <w:t>Considerando que:</w:t>
      </w:r>
    </w:p>
    <w:p w:rsidR="005327E8" w:rsidRPr="00EF5C5D" w:rsidRDefault="005327E8" w:rsidP="005327E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El PRIMER OTORGANTE ha celebrado con OMIClear</w:t>
      </w:r>
      <w:r w:rsidR="00D46104" w:rsidRPr="00EF5C5D">
        <w:rPr>
          <w:rFonts w:cs="Arial"/>
          <w:sz w:val="20"/>
          <w:szCs w:val="22"/>
          <w:lang w:val="es-ES"/>
        </w:rPr>
        <w:t xml:space="preserve">, </w:t>
      </w:r>
      <w:r w:rsidR="0008576A" w:rsidRPr="00EF5C5D">
        <w:rPr>
          <w:rFonts w:cs="Arial"/>
          <w:sz w:val="20"/>
          <w:szCs w:val="22"/>
          <w:lang w:val="es-ES"/>
        </w:rPr>
        <w:t>C.C., S.A.</w:t>
      </w:r>
      <w:r w:rsidRPr="00EF5C5D">
        <w:rPr>
          <w:rFonts w:cs="Arial"/>
          <w:sz w:val="20"/>
          <w:szCs w:val="22"/>
          <w:lang w:val="es-ES"/>
        </w:rPr>
        <w:t xml:space="preserve"> (en adelante denominada OMIClear), un Acuerdo de Admisión de Miembro Compensador que se mantiene en vigor y que lo autoriza a desempeñar las funciones de </w:t>
      </w:r>
      <w:r w:rsidRPr="00E470F1">
        <w:rPr>
          <w:rFonts w:cs="Arial"/>
          <w:b/>
          <w:sz w:val="20"/>
          <w:szCs w:val="22"/>
          <w:lang w:val="es-ES"/>
        </w:rPr>
        <w:t>Miembro Compensador General</w:t>
      </w:r>
      <w:r w:rsidRPr="00EF5C5D">
        <w:rPr>
          <w:rFonts w:cs="Arial"/>
          <w:sz w:val="20"/>
          <w:szCs w:val="22"/>
          <w:lang w:val="es-ES"/>
        </w:rPr>
        <w:t>;</w:t>
      </w:r>
    </w:p>
    <w:p w:rsidR="005327E8" w:rsidRPr="00EF5C5D" w:rsidRDefault="005327E8" w:rsidP="00E470F1">
      <w:pPr>
        <w:pStyle w:val="texto"/>
        <w:numPr>
          <w:ilvl w:val="0"/>
          <w:numId w:val="2"/>
        </w:numPr>
        <w:spacing w:before="120" w:after="120" w:line="360" w:lineRule="auto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El SEGUNDO OTORGANTE posee la calidad de </w:t>
      </w:r>
      <w:r w:rsidRPr="00E470F1">
        <w:rPr>
          <w:rFonts w:cs="Arial"/>
          <w:b/>
          <w:sz w:val="20"/>
          <w:szCs w:val="22"/>
          <w:lang w:val="es-ES"/>
        </w:rPr>
        <w:t>Miembro Negociador</w:t>
      </w:r>
      <w:r w:rsidRPr="00EF5C5D">
        <w:rPr>
          <w:rFonts w:cs="Arial"/>
          <w:sz w:val="20"/>
          <w:szCs w:val="22"/>
          <w:lang w:val="es-ES"/>
        </w:rPr>
        <w:t xml:space="preserve"> en el </w:t>
      </w:r>
      <w:r w:rsidR="00E470F1" w:rsidRPr="00EF5C5D">
        <w:rPr>
          <w:rFonts w:cs="Arial"/>
          <w:sz w:val="20"/>
          <w:szCs w:val="22"/>
          <w:lang w:val="es-ES"/>
        </w:rPr>
        <w:t xml:space="preserve">Mercado </w:t>
      </w:r>
      <w:r w:rsidRPr="00EF5C5D">
        <w:rPr>
          <w:rFonts w:cs="Arial"/>
          <w:sz w:val="20"/>
          <w:szCs w:val="22"/>
          <w:lang w:val="es-ES"/>
        </w:rPr>
        <w:t>gestionado por</w:t>
      </w:r>
      <w:r w:rsidR="00E470F1">
        <w:rPr>
          <w:rFonts w:cs="Arial"/>
          <w:sz w:val="20"/>
          <w:szCs w:val="22"/>
          <w:lang w:val="es-ES"/>
        </w:rPr>
        <w:t xml:space="preserve"> </w:t>
      </w:r>
      <w:r w:rsidR="00E470F1" w:rsidRPr="00E470F1">
        <w:rPr>
          <w:rFonts w:cs="Arial"/>
          <w:sz w:val="20"/>
          <w:szCs w:val="22"/>
          <w:lang w:val="es-ES"/>
        </w:rPr>
        <w:t xml:space="preserve">OMIP - </w:t>
      </w:r>
      <w:proofErr w:type="spellStart"/>
      <w:r w:rsidR="00E470F1" w:rsidRPr="00E470F1">
        <w:rPr>
          <w:rFonts w:cs="Arial"/>
          <w:sz w:val="20"/>
          <w:szCs w:val="22"/>
          <w:lang w:val="es-ES"/>
        </w:rPr>
        <w:t>Pólo</w:t>
      </w:r>
      <w:proofErr w:type="spellEnd"/>
      <w:r w:rsidR="00E470F1" w:rsidRPr="00E470F1">
        <w:rPr>
          <w:rFonts w:cs="Arial"/>
          <w:sz w:val="20"/>
          <w:szCs w:val="22"/>
          <w:lang w:val="es-ES"/>
        </w:rPr>
        <w:t xml:space="preserve"> </w:t>
      </w:r>
      <w:proofErr w:type="spellStart"/>
      <w:r w:rsidR="00E470F1" w:rsidRPr="00E470F1">
        <w:rPr>
          <w:rFonts w:cs="Arial"/>
          <w:sz w:val="20"/>
          <w:szCs w:val="22"/>
          <w:lang w:val="es-ES"/>
        </w:rPr>
        <w:t>Português</w:t>
      </w:r>
      <w:proofErr w:type="spellEnd"/>
      <w:r w:rsidR="00E470F1" w:rsidRPr="00E470F1">
        <w:rPr>
          <w:rFonts w:cs="Arial"/>
          <w:sz w:val="20"/>
          <w:szCs w:val="22"/>
          <w:lang w:val="es-ES"/>
        </w:rPr>
        <w:t xml:space="preserve">, S.G.M.R., S.A. </w:t>
      </w:r>
      <w:r w:rsidRPr="00EF5C5D">
        <w:rPr>
          <w:rFonts w:cs="Arial"/>
          <w:sz w:val="20"/>
          <w:szCs w:val="22"/>
          <w:lang w:val="es-ES"/>
        </w:rPr>
        <w:t xml:space="preserve"> (en adelante denominado OMIP);</w:t>
      </w:r>
    </w:p>
    <w:p w:rsidR="005327E8" w:rsidRPr="00EF5C5D" w:rsidRDefault="005327E8" w:rsidP="005327E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El TERCER OTORGANTE desea celebrar un Acuerdo de Compensación con el PRIMER OTORGANTE relativo a su actuación como </w:t>
      </w:r>
      <w:r w:rsidRPr="00E470F1">
        <w:rPr>
          <w:rFonts w:cs="Arial"/>
          <w:b/>
          <w:sz w:val="20"/>
          <w:szCs w:val="22"/>
          <w:lang w:val="es-ES"/>
        </w:rPr>
        <w:t>Cliente</w:t>
      </w:r>
      <w:r w:rsidRPr="00EF5C5D">
        <w:rPr>
          <w:rFonts w:cs="Arial"/>
          <w:sz w:val="20"/>
          <w:szCs w:val="22"/>
          <w:lang w:val="es-ES"/>
        </w:rPr>
        <w:t xml:space="preserve"> en el mercado gestionado por OMIP.</w:t>
      </w:r>
    </w:p>
    <w:p w:rsidR="005327E8" w:rsidRPr="00EF5C5D" w:rsidRDefault="005327E8" w:rsidP="005327E8">
      <w:pPr>
        <w:pStyle w:val="texto"/>
        <w:spacing w:before="0" w:after="0" w:line="360" w:lineRule="auto"/>
        <w:rPr>
          <w:rFonts w:cs="Arial"/>
          <w:sz w:val="20"/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es celebrado el presente Acuerdo que se regirá por las siguientes cláusulas:</w:t>
      </w:r>
    </w:p>
    <w:p w:rsidR="002166D9" w:rsidRPr="00EF5C5D" w:rsidRDefault="002166D9" w:rsidP="005327E8">
      <w:pPr>
        <w:pStyle w:val="epigrafeart"/>
        <w:rPr>
          <w:sz w:val="20"/>
          <w:lang w:val="es-ES"/>
        </w:rPr>
      </w:pPr>
    </w:p>
    <w:p w:rsidR="005327E8" w:rsidRPr="00E470F1" w:rsidRDefault="005327E8" w:rsidP="005327E8">
      <w:pPr>
        <w:pStyle w:val="epigrafeart"/>
        <w:rPr>
          <w:color w:val="92D050"/>
          <w:sz w:val="20"/>
          <w:lang w:val="es-ES_tradnl"/>
        </w:rPr>
      </w:pPr>
      <w:r w:rsidRPr="00E470F1">
        <w:rPr>
          <w:color w:val="92D050"/>
          <w:sz w:val="20"/>
          <w:lang w:val="es-ES_tradnl"/>
        </w:rPr>
        <w:t>CLÁUSULA PRIMERA</w:t>
      </w:r>
    </w:p>
    <w:p w:rsidR="005327E8" w:rsidRPr="00EF5C5D" w:rsidRDefault="005327E8" w:rsidP="005327E8">
      <w:pPr>
        <w:pStyle w:val="texto"/>
        <w:spacing w:before="0" w:after="0" w:line="360" w:lineRule="auto"/>
        <w:ind w:firstLine="0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Los otorgantes suscriptores de este Acuerdo asumen, recíprocamente, las obligaciones y responsabilidades previstas en las Reglas de </w:t>
      </w:r>
      <w:r w:rsidR="00E470F1">
        <w:rPr>
          <w:rFonts w:cs="Arial"/>
          <w:sz w:val="20"/>
          <w:szCs w:val="22"/>
          <w:lang w:val="es-ES"/>
        </w:rPr>
        <w:t>OMIClear</w:t>
      </w:r>
      <w:r w:rsidRPr="00EF5C5D">
        <w:rPr>
          <w:rFonts w:cs="Arial"/>
          <w:sz w:val="20"/>
          <w:szCs w:val="22"/>
          <w:lang w:val="es-ES"/>
        </w:rPr>
        <w:t xml:space="preserve"> y </w:t>
      </w:r>
      <w:r w:rsidR="00E470F1">
        <w:rPr>
          <w:rFonts w:cs="Arial"/>
          <w:sz w:val="20"/>
          <w:szCs w:val="22"/>
          <w:lang w:val="es-ES"/>
        </w:rPr>
        <w:t>en las Reglas de OMIP</w:t>
      </w:r>
      <w:r w:rsidRPr="00EF5C5D">
        <w:rPr>
          <w:rFonts w:cs="Arial"/>
          <w:sz w:val="20"/>
          <w:szCs w:val="22"/>
          <w:lang w:val="es-ES"/>
        </w:rPr>
        <w:t>, en el ámbito de las Posiciones registradas ante OMIClear.</w:t>
      </w:r>
    </w:p>
    <w:p w:rsidR="002166D9" w:rsidRDefault="002166D9" w:rsidP="005327E8">
      <w:pPr>
        <w:pStyle w:val="epigrafeart"/>
        <w:rPr>
          <w:sz w:val="20"/>
          <w:lang w:val="es-ES"/>
        </w:rPr>
      </w:pPr>
    </w:p>
    <w:p w:rsidR="00EF5C5D" w:rsidRDefault="00EF5C5D" w:rsidP="005327E8">
      <w:pPr>
        <w:pStyle w:val="epigrafeart"/>
        <w:rPr>
          <w:sz w:val="20"/>
          <w:lang w:val="es-ES"/>
        </w:rPr>
      </w:pPr>
    </w:p>
    <w:p w:rsidR="00EF5C5D" w:rsidRDefault="00EF5C5D" w:rsidP="005327E8">
      <w:pPr>
        <w:pStyle w:val="epigrafeart"/>
        <w:rPr>
          <w:sz w:val="20"/>
          <w:lang w:val="es-ES"/>
        </w:rPr>
      </w:pPr>
    </w:p>
    <w:p w:rsidR="00EF5C5D" w:rsidRPr="00EF5C5D" w:rsidRDefault="00EF5C5D" w:rsidP="005327E8">
      <w:pPr>
        <w:pStyle w:val="epigrafeart"/>
        <w:rPr>
          <w:sz w:val="20"/>
          <w:lang w:val="es-ES"/>
        </w:rPr>
      </w:pPr>
    </w:p>
    <w:p w:rsidR="005327E8" w:rsidRPr="00EF5C5D" w:rsidRDefault="005327E8" w:rsidP="005327E8">
      <w:pPr>
        <w:pStyle w:val="epigrafeart"/>
        <w:rPr>
          <w:color w:val="92D050"/>
          <w:sz w:val="20"/>
        </w:rPr>
      </w:pPr>
      <w:r w:rsidRPr="00EF5C5D">
        <w:rPr>
          <w:color w:val="92D050"/>
          <w:sz w:val="20"/>
        </w:rPr>
        <w:t>CLÁUSULA SEGUNDA</w:t>
      </w:r>
    </w:p>
    <w:p w:rsidR="005327E8" w:rsidRPr="00EF5C5D" w:rsidRDefault="005327E8" w:rsidP="005327E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El PRIMER OTORGANTE, en el ámbito de las responsabilidades asumidas ante OMIClear, el SEGUNDO y el TERCER OTORGANTES, declara tener pleno conocimiento, y aceptar expresamente y sin reservas, que, en el caso de que no proceda al cumplimiento puntual de sus obligaciones, OMIClear puede adoptar los procedimientos previstos al efecto en </w:t>
      </w:r>
      <w:smartTag w:uri="urn:schemas-microsoft-com:office:smarttags" w:element="PersonName">
        <w:smartTagPr>
          <w:attr w:name="ProductID" w:val="la Normativa Nacional"/>
        </w:smartTagPr>
        <w:r w:rsidRPr="00EF5C5D">
          <w:rPr>
            <w:rFonts w:cs="Arial"/>
            <w:sz w:val="20"/>
            <w:szCs w:val="22"/>
            <w:lang w:val="es-ES"/>
          </w:rPr>
          <w:t>la Normativa Nacional</w:t>
        </w:r>
      </w:smartTag>
      <w:r w:rsidRPr="00EF5C5D">
        <w:rPr>
          <w:rFonts w:cs="Arial"/>
          <w:sz w:val="20"/>
          <w:szCs w:val="22"/>
          <w:lang w:val="es-ES"/>
        </w:rPr>
        <w:t xml:space="preserve"> y en las Reglas de </w:t>
      </w:r>
      <w:r w:rsidR="00E470F1">
        <w:rPr>
          <w:rFonts w:cs="Arial"/>
          <w:sz w:val="20"/>
          <w:szCs w:val="22"/>
          <w:lang w:val="es-ES"/>
        </w:rPr>
        <w:t>OMIClear</w:t>
      </w:r>
      <w:r w:rsidRPr="00EF5C5D">
        <w:rPr>
          <w:rFonts w:cs="Arial"/>
          <w:sz w:val="20"/>
          <w:szCs w:val="22"/>
          <w:lang w:val="es-ES"/>
        </w:rPr>
        <w:t>.</w:t>
      </w:r>
    </w:p>
    <w:p w:rsidR="005327E8" w:rsidRPr="00EF5C5D" w:rsidRDefault="005327E8" w:rsidP="005327E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El SEGUNDO y el TERCER OTORGANTES declaran tener pleno conocimiento, y aceptar expresamente y sin reservas:</w:t>
      </w:r>
    </w:p>
    <w:p w:rsidR="005327E8" w:rsidRPr="00EF5C5D" w:rsidRDefault="005327E8" w:rsidP="005327E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Que, caso el TERCER OTORGANTE no proceda al cumplimiento de sus obligaciones, el PRIMER OTORGANTE, OMIClear y OMIP pueden adoptar los procedimientos previstos al efecto en </w:t>
      </w:r>
      <w:smartTag w:uri="urn:schemas-microsoft-com:office:smarttags" w:element="PersonName">
        <w:smartTagPr>
          <w:attr w:name="ProductID" w:val="la Normativa Nacional"/>
        </w:smartTagPr>
        <w:r w:rsidRPr="00EF5C5D">
          <w:rPr>
            <w:rFonts w:cs="Arial"/>
            <w:sz w:val="20"/>
            <w:szCs w:val="22"/>
            <w:lang w:val="es-ES"/>
          </w:rPr>
          <w:t>la Normativa Nacional</w:t>
        </w:r>
      </w:smartTag>
      <w:r w:rsidRPr="00EF5C5D">
        <w:rPr>
          <w:rFonts w:cs="Arial"/>
          <w:sz w:val="20"/>
          <w:szCs w:val="22"/>
          <w:lang w:val="es-ES"/>
        </w:rPr>
        <w:t xml:space="preserve">, en las Reglas de </w:t>
      </w:r>
      <w:r w:rsidR="00E470F1">
        <w:rPr>
          <w:rFonts w:cs="Arial"/>
          <w:sz w:val="20"/>
          <w:szCs w:val="22"/>
          <w:lang w:val="es-ES"/>
        </w:rPr>
        <w:t>OMIClear</w:t>
      </w:r>
      <w:r w:rsidRPr="00EF5C5D">
        <w:rPr>
          <w:rFonts w:cs="Arial"/>
          <w:sz w:val="20"/>
          <w:szCs w:val="22"/>
          <w:lang w:val="es-ES"/>
        </w:rPr>
        <w:t xml:space="preserve"> y </w:t>
      </w:r>
      <w:r w:rsidR="00E470F1">
        <w:rPr>
          <w:rFonts w:cs="Arial"/>
          <w:sz w:val="20"/>
          <w:szCs w:val="22"/>
          <w:lang w:val="es-ES"/>
        </w:rPr>
        <w:t>en las Reglas de OMIP</w:t>
      </w:r>
      <w:r w:rsidRPr="00EF5C5D">
        <w:rPr>
          <w:rFonts w:cs="Arial"/>
          <w:sz w:val="20"/>
          <w:szCs w:val="22"/>
          <w:lang w:val="es-ES"/>
        </w:rPr>
        <w:t>, en particular proceder al cierre o transferencia inmediata de las Posiciones gestionadas por él, mediante una simple comunicación del PRIMER OTORGANTE a OMIClear;</w:t>
      </w:r>
    </w:p>
    <w:p w:rsidR="005327E8" w:rsidRPr="00EF5C5D" w:rsidRDefault="005327E8" w:rsidP="005327E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b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Que, en el caso de que el PRIMER OTORGANTE no proceda al cumplimiento de sus obligaciones, OMIClear y OMIP pueden adoptar los procedimientos previstos al efecto en </w:t>
      </w:r>
      <w:smartTag w:uri="urn:schemas-microsoft-com:office:smarttags" w:element="PersonName">
        <w:smartTagPr>
          <w:attr w:name="ProductID" w:val="la Normativa Nacional"/>
        </w:smartTagPr>
        <w:r w:rsidRPr="00EF5C5D">
          <w:rPr>
            <w:rFonts w:cs="Arial"/>
            <w:sz w:val="20"/>
            <w:szCs w:val="22"/>
            <w:lang w:val="es-ES"/>
          </w:rPr>
          <w:t>la Normativa Nacional</w:t>
        </w:r>
      </w:smartTag>
      <w:r w:rsidRPr="00EF5C5D">
        <w:rPr>
          <w:rFonts w:cs="Arial"/>
          <w:sz w:val="20"/>
          <w:szCs w:val="22"/>
          <w:lang w:val="es-ES"/>
        </w:rPr>
        <w:t xml:space="preserve">, </w:t>
      </w:r>
      <w:r w:rsidR="00E470F1" w:rsidRPr="00EF5C5D">
        <w:rPr>
          <w:rFonts w:cs="Arial"/>
          <w:sz w:val="20"/>
          <w:szCs w:val="22"/>
          <w:lang w:val="es-ES"/>
        </w:rPr>
        <w:t xml:space="preserve">en las Reglas de </w:t>
      </w:r>
      <w:r w:rsidR="00E470F1">
        <w:rPr>
          <w:rFonts w:cs="Arial"/>
          <w:sz w:val="20"/>
          <w:szCs w:val="22"/>
          <w:lang w:val="es-ES"/>
        </w:rPr>
        <w:t>OMIClear</w:t>
      </w:r>
      <w:r w:rsidR="00E470F1" w:rsidRPr="00EF5C5D">
        <w:rPr>
          <w:rFonts w:cs="Arial"/>
          <w:sz w:val="20"/>
          <w:szCs w:val="22"/>
          <w:lang w:val="es-ES"/>
        </w:rPr>
        <w:t xml:space="preserve"> y </w:t>
      </w:r>
      <w:r w:rsidR="00E470F1">
        <w:rPr>
          <w:rFonts w:cs="Arial"/>
          <w:sz w:val="20"/>
          <w:szCs w:val="22"/>
          <w:lang w:val="es-ES"/>
        </w:rPr>
        <w:t>en las Reglas de OMIP</w:t>
      </w:r>
      <w:r w:rsidRPr="00EF5C5D">
        <w:rPr>
          <w:rFonts w:cs="Arial"/>
          <w:sz w:val="20"/>
          <w:szCs w:val="22"/>
          <w:lang w:val="es-ES"/>
        </w:rPr>
        <w:t>, en particular proceder al cierre o transferencia inmediata de las Posiciones del TERCER OTORGANTE.</w:t>
      </w:r>
    </w:p>
    <w:p w:rsidR="005327E8" w:rsidRPr="00EF5C5D" w:rsidRDefault="005327E8" w:rsidP="005327E8">
      <w:pPr>
        <w:pStyle w:val="texto"/>
        <w:spacing w:before="0" w:after="120" w:line="360" w:lineRule="auto"/>
        <w:ind w:firstLine="0"/>
        <w:rPr>
          <w:rFonts w:cs="Arial"/>
          <w:sz w:val="20"/>
          <w:szCs w:val="22"/>
          <w:lang w:val="es-ES"/>
        </w:rPr>
      </w:pPr>
    </w:p>
    <w:p w:rsidR="005327E8" w:rsidRPr="00EF5C5D" w:rsidRDefault="005327E8" w:rsidP="005327E8">
      <w:pPr>
        <w:pStyle w:val="epigrafeart"/>
        <w:rPr>
          <w:color w:val="92D050"/>
          <w:sz w:val="20"/>
        </w:rPr>
      </w:pPr>
      <w:r w:rsidRPr="00EF5C5D">
        <w:rPr>
          <w:color w:val="92D050"/>
          <w:sz w:val="20"/>
        </w:rPr>
        <w:t>CLÁUSULA TERCERA</w:t>
      </w:r>
    </w:p>
    <w:p w:rsidR="005327E8" w:rsidRPr="00EF5C5D" w:rsidRDefault="005327E8" w:rsidP="005327E8">
      <w:pPr>
        <w:pStyle w:val="texto"/>
        <w:spacing w:before="0" w:after="0" w:line="360" w:lineRule="auto"/>
        <w:ind w:firstLine="0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El PRIMER OTORGANTE puede, en cualquier momento, establecer límites a la actuación del TERCER OTORGANTE, en particular:</w:t>
      </w:r>
    </w:p>
    <w:p w:rsidR="005327E8" w:rsidRPr="00EF5C5D" w:rsidRDefault="005327E8" w:rsidP="005327E8">
      <w:pPr>
        <w:numPr>
          <w:ilvl w:val="0"/>
          <w:numId w:val="4"/>
        </w:numPr>
        <w:spacing w:before="120" w:after="120"/>
        <w:ind w:left="714" w:hanging="357"/>
        <w:rPr>
          <w:szCs w:val="22"/>
          <w:lang w:val="es-ES"/>
        </w:rPr>
      </w:pPr>
      <w:r w:rsidRPr="00EF5C5D">
        <w:rPr>
          <w:szCs w:val="22"/>
          <w:lang w:val="es-ES"/>
        </w:rPr>
        <w:t>Estableciendo límites a las Posiciones o a la exposición asumidas por él;</w:t>
      </w:r>
    </w:p>
    <w:p w:rsidR="005327E8" w:rsidRPr="00EF5C5D" w:rsidRDefault="005327E8" w:rsidP="005327E8">
      <w:pPr>
        <w:numPr>
          <w:ilvl w:val="0"/>
          <w:numId w:val="4"/>
        </w:numPr>
        <w:spacing w:before="120" w:after="120"/>
        <w:ind w:left="714" w:hanging="357"/>
        <w:rPr>
          <w:szCs w:val="22"/>
          <w:lang w:val="es-ES"/>
        </w:rPr>
      </w:pPr>
      <w:r w:rsidRPr="00EF5C5D">
        <w:rPr>
          <w:szCs w:val="22"/>
          <w:lang w:val="es-ES"/>
        </w:rPr>
        <w:t>Limitando la realización de Operaciones únicamente al cierre de Posiciones asumidas por él;</w:t>
      </w:r>
    </w:p>
    <w:p w:rsidR="005327E8" w:rsidRPr="00EF5C5D" w:rsidRDefault="005327E8" w:rsidP="005327E8">
      <w:pPr>
        <w:numPr>
          <w:ilvl w:val="0"/>
          <w:numId w:val="4"/>
        </w:numPr>
        <w:spacing w:before="120" w:after="120"/>
        <w:ind w:left="714" w:hanging="357"/>
        <w:rPr>
          <w:szCs w:val="22"/>
          <w:lang w:val="es-ES"/>
        </w:rPr>
      </w:pPr>
      <w:r w:rsidRPr="00EF5C5D">
        <w:rPr>
          <w:szCs w:val="22"/>
          <w:lang w:val="es-ES"/>
        </w:rPr>
        <w:t>Impidiéndole realizar más Operaciones.</w:t>
      </w:r>
    </w:p>
    <w:p w:rsidR="005327E8" w:rsidRPr="00EF5C5D" w:rsidRDefault="005327E8" w:rsidP="005327E8">
      <w:pPr>
        <w:pStyle w:val="texto"/>
        <w:spacing w:before="0" w:after="120" w:line="360" w:lineRule="auto"/>
        <w:ind w:firstLine="284"/>
        <w:rPr>
          <w:rFonts w:cs="Arial"/>
          <w:sz w:val="20"/>
          <w:szCs w:val="22"/>
          <w:lang w:val="es-ES"/>
        </w:rPr>
      </w:pPr>
    </w:p>
    <w:p w:rsidR="005327E8" w:rsidRPr="00EF5C5D" w:rsidRDefault="005327E8" w:rsidP="005327E8">
      <w:pPr>
        <w:pStyle w:val="epigrafeart"/>
        <w:rPr>
          <w:color w:val="92D050"/>
          <w:sz w:val="20"/>
        </w:rPr>
      </w:pPr>
      <w:r w:rsidRPr="00EF5C5D">
        <w:rPr>
          <w:color w:val="92D050"/>
          <w:sz w:val="20"/>
        </w:rPr>
        <w:t>CLÁUSULA CUARTA</w:t>
      </w:r>
    </w:p>
    <w:p w:rsidR="005327E8" w:rsidRPr="00EF5C5D" w:rsidRDefault="005327E8" w:rsidP="005327E8">
      <w:pPr>
        <w:pStyle w:val="epigrafeart"/>
        <w:jc w:val="both"/>
        <w:rPr>
          <w:b w:val="0"/>
          <w:sz w:val="20"/>
          <w:lang w:val="es-ES"/>
        </w:rPr>
      </w:pPr>
      <w:r w:rsidRPr="00EF5C5D">
        <w:rPr>
          <w:b w:val="0"/>
          <w:sz w:val="20"/>
          <w:lang w:val="es-ES"/>
        </w:rPr>
        <w:t xml:space="preserve">El PRIMER OTORGANTE liquidará vía liquidación financiera diaria las comisiones de negociación y de entrega física. </w:t>
      </w:r>
    </w:p>
    <w:p w:rsidR="005327E8" w:rsidRDefault="005327E8" w:rsidP="005327E8">
      <w:pPr>
        <w:pStyle w:val="epigrafeart"/>
        <w:rPr>
          <w:sz w:val="20"/>
          <w:lang w:val="es-ES"/>
        </w:rPr>
      </w:pPr>
    </w:p>
    <w:p w:rsidR="00EF5C5D" w:rsidRPr="00EF5C5D" w:rsidRDefault="00EF5C5D" w:rsidP="005327E8">
      <w:pPr>
        <w:pStyle w:val="epigrafeart"/>
        <w:rPr>
          <w:sz w:val="20"/>
          <w:lang w:val="es-ES"/>
        </w:rPr>
      </w:pPr>
    </w:p>
    <w:p w:rsidR="005327E8" w:rsidRPr="00EF5C5D" w:rsidRDefault="005327E8" w:rsidP="005327E8">
      <w:pPr>
        <w:pStyle w:val="epigrafeart"/>
        <w:rPr>
          <w:color w:val="92D050"/>
          <w:sz w:val="20"/>
        </w:rPr>
      </w:pPr>
      <w:r w:rsidRPr="00EF5C5D">
        <w:rPr>
          <w:color w:val="92D050"/>
          <w:sz w:val="20"/>
        </w:rPr>
        <w:t>CLÁUSULA QUINTA</w:t>
      </w:r>
    </w:p>
    <w:p w:rsidR="005327E8" w:rsidRPr="00EF5C5D" w:rsidRDefault="005327E8" w:rsidP="005327E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El presente Acuerdo produce efectos a partir de la fecha de su celebración, estando vigente por tiempo indeterminado, y cesa:</w:t>
      </w:r>
    </w:p>
    <w:p w:rsidR="008366BA" w:rsidRPr="008366BA" w:rsidRDefault="008366BA" w:rsidP="008366BA">
      <w:pPr>
        <w:numPr>
          <w:ilvl w:val="0"/>
          <w:numId w:val="6"/>
        </w:numPr>
        <w:rPr>
          <w:szCs w:val="22"/>
          <w:lang w:val="es-ES"/>
        </w:rPr>
      </w:pPr>
      <w:r w:rsidRPr="008366BA">
        <w:rPr>
          <w:szCs w:val="22"/>
          <w:lang w:val="es-ES"/>
        </w:rPr>
        <w:t>Por denuncia, por escrito, por el PRIMER OTORGANTE, con un preaviso de, por lo menos, 90 (noventa) Días de Compensación en relación a la fecha de cese;</w:t>
      </w:r>
    </w:p>
    <w:p w:rsidR="005327E8" w:rsidRPr="00EF5C5D" w:rsidRDefault="005327E8" w:rsidP="005327E8">
      <w:pPr>
        <w:numPr>
          <w:ilvl w:val="0"/>
          <w:numId w:val="6"/>
        </w:numPr>
        <w:spacing w:before="120" w:after="120"/>
        <w:ind w:right="-28"/>
        <w:rPr>
          <w:szCs w:val="22"/>
          <w:lang w:val="es-ES"/>
        </w:rPr>
      </w:pPr>
      <w:r w:rsidRPr="00EF5C5D">
        <w:rPr>
          <w:szCs w:val="22"/>
          <w:lang w:val="es-ES"/>
        </w:rPr>
        <w:t xml:space="preserve">Por denuncia, por escrito, por </w:t>
      </w:r>
      <w:r w:rsidR="008366BA" w:rsidRPr="008366BA">
        <w:rPr>
          <w:szCs w:val="22"/>
          <w:lang w:val="es-ES"/>
        </w:rPr>
        <w:t xml:space="preserve">el </w:t>
      </w:r>
      <w:r w:rsidR="008366BA">
        <w:rPr>
          <w:szCs w:val="22"/>
          <w:lang w:val="es-ES"/>
        </w:rPr>
        <w:t>SEGUNDO</w:t>
      </w:r>
      <w:r w:rsidRPr="00EF5C5D">
        <w:rPr>
          <w:szCs w:val="22"/>
          <w:lang w:val="es-ES"/>
        </w:rPr>
        <w:t xml:space="preserve"> </w:t>
      </w:r>
      <w:r w:rsidR="008366BA">
        <w:rPr>
          <w:szCs w:val="22"/>
          <w:lang w:val="es-ES"/>
        </w:rPr>
        <w:t xml:space="preserve">O TERCER </w:t>
      </w:r>
      <w:r w:rsidRPr="00EF5C5D">
        <w:rPr>
          <w:szCs w:val="22"/>
          <w:lang w:val="es-ES"/>
        </w:rPr>
        <w:t xml:space="preserve">OTORGANTES, con un preaviso de, por lo menos, 30 (treinta) </w:t>
      </w:r>
      <w:r w:rsidR="008366BA" w:rsidRPr="008366BA">
        <w:rPr>
          <w:szCs w:val="22"/>
          <w:lang w:val="es-ES"/>
        </w:rPr>
        <w:t xml:space="preserve">Días de Compensación </w:t>
      </w:r>
      <w:r w:rsidRPr="00EF5C5D">
        <w:rPr>
          <w:szCs w:val="22"/>
          <w:lang w:val="es-ES"/>
        </w:rPr>
        <w:t>en relación a la fecha del cese;</w:t>
      </w:r>
    </w:p>
    <w:p w:rsidR="005327E8" w:rsidRPr="00EF5C5D" w:rsidRDefault="005327E8" w:rsidP="005327E8">
      <w:pPr>
        <w:numPr>
          <w:ilvl w:val="0"/>
          <w:numId w:val="6"/>
        </w:numPr>
        <w:spacing w:before="120" w:after="120"/>
        <w:ind w:right="-28"/>
        <w:rPr>
          <w:szCs w:val="22"/>
          <w:lang w:val="es-ES"/>
        </w:rPr>
      </w:pPr>
      <w:r w:rsidRPr="00EF5C5D">
        <w:rPr>
          <w:szCs w:val="22"/>
          <w:lang w:val="es-ES"/>
        </w:rPr>
        <w:t xml:space="preserve">Por cese de la calidad de Miembro de OMIClear, de Miembro de OMIP o de Cliente de los OTORGANTES, en los términos previstos en las Reglas de </w:t>
      </w:r>
      <w:r w:rsidR="00E470F1">
        <w:rPr>
          <w:szCs w:val="22"/>
          <w:lang w:val="es-ES"/>
        </w:rPr>
        <w:t>OMIClear</w:t>
      </w:r>
      <w:r w:rsidRPr="00EF5C5D">
        <w:rPr>
          <w:szCs w:val="22"/>
          <w:lang w:val="es-ES"/>
        </w:rPr>
        <w:t xml:space="preserve"> o de </w:t>
      </w:r>
      <w:r w:rsidR="00E470F1">
        <w:rPr>
          <w:szCs w:val="22"/>
          <w:lang w:val="es-ES"/>
        </w:rPr>
        <w:t>OMIP</w:t>
      </w:r>
      <w:r w:rsidRPr="00EF5C5D">
        <w:rPr>
          <w:szCs w:val="22"/>
          <w:lang w:val="es-ES"/>
        </w:rPr>
        <w:t>.</w:t>
      </w:r>
    </w:p>
    <w:p w:rsidR="005327E8" w:rsidRPr="00EF5C5D" w:rsidRDefault="005327E8" w:rsidP="005327E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 xml:space="preserve">El cese, por cualquier motivo, del presente Acuerdo, no perjudica el deber de cumplimiento de todas las obligaciones que se deriven, para cada uno de los </w:t>
      </w:r>
      <w:r w:rsidRPr="00EF5C5D">
        <w:rPr>
          <w:sz w:val="20"/>
          <w:szCs w:val="22"/>
          <w:lang w:val="es-ES"/>
        </w:rPr>
        <w:t>OTORGANTES</w:t>
      </w:r>
      <w:r w:rsidRPr="00EF5C5D">
        <w:rPr>
          <w:rFonts w:cs="Arial"/>
          <w:sz w:val="20"/>
          <w:szCs w:val="22"/>
          <w:lang w:val="es-ES"/>
        </w:rPr>
        <w:t>, de las Operaciones de las que sean responsables.</w:t>
      </w:r>
    </w:p>
    <w:p w:rsidR="005327E8" w:rsidRPr="00EF5C5D" w:rsidRDefault="005327E8" w:rsidP="005327E8">
      <w:pPr>
        <w:pStyle w:val="texto"/>
        <w:spacing w:before="0" w:after="120" w:line="360" w:lineRule="auto"/>
        <w:ind w:firstLine="0"/>
        <w:rPr>
          <w:rFonts w:cs="Arial"/>
          <w:sz w:val="20"/>
          <w:szCs w:val="22"/>
          <w:lang w:val="es-ES"/>
        </w:rPr>
      </w:pPr>
    </w:p>
    <w:p w:rsidR="005327E8" w:rsidRPr="00EF5C5D" w:rsidRDefault="005327E8" w:rsidP="00856F33">
      <w:pPr>
        <w:pStyle w:val="epigrafeart"/>
        <w:rPr>
          <w:color w:val="92D050"/>
          <w:sz w:val="20"/>
        </w:rPr>
      </w:pPr>
      <w:r w:rsidRPr="00EF5C5D">
        <w:rPr>
          <w:color w:val="92D050"/>
          <w:sz w:val="20"/>
        </w:rPr>
        <w:t>CLÁUSULA SEXTA</w:t>
      </w:r>
    </w:p>
    <w:p w:rsidR="005327E8" w:rsidRPr="00EF5C5D" w:rsidRDefault="005327E8" w:rsidP="005327E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El presente Acuerdo se rige por la ley portuguesa.</w:t>
      </w:r>
    </w:p>
    <w:p w:rsidR="005327E8" w:rsidRPr="00EF5C5D" w:rsidRDefault="005327E8" w:rsidP="005327E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0"/>
          <w:szCs w:val="22"/>
          <w:lang w:val="es-ES"/>
        </w:rPr>
      </w:pPr>
      <w:r w:rsidRPr="00EF5C5D">
        <w:rPr>
          <w:rFonts w:cs="Arial"/>
          <w:sz w:val="20"/>
          <w:szCs w:val="22"/>
          <w:lang w:val="es-ES"/>
        </w:rPr>
        <w:t>Es considerado no escrito y sin validez, cualquier Acuerdo entre las partes que sea contrario a las cláusulas del presente Acuerdo o que limite, condicione o impida su contenido y aplicación.</w:t>
      </w:r>
    </w:p>
    <w:p w:rsidR="002166D9" w:rsidRPr="00EF5C5D" w:rsidRDefault="002166D9" w:rsidP="005327E8">
      <w:pPr>
        <w:spacing w:before="0"/>
        <w:rPr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Hecho en triplicado, el presente Acuerdo está firmado por todos los otorgantes en señal de su conformidad.</w:t>
      </w:r>
    </w:p>
    <w:p w:rsidR="005327E8" w:rsidRPr="00EF5C5D" w:rsidRDefault="005327E8" w:rsidP="005327E8">
      <w:pPr>
        <w:pStyle w:val="texto"/>
        <w:spacing w:before="0" w:after="0" w:line="360" w:lineRule="auto"/>
        <w:ind w:firstLine="0"/>
        <w:rPr>
          <w:rFonts w:cs="Arial"/>
          <w:b/>
          <w:sz w:val="20"/>
          <w:szCs w:val="22"/>
          <w:lang w:val="es-ES"/>
        </w:rPr>
      </w:pPr>
    </w:p>
    <w:p w:rsidR="002166D9" w:rsidRPr="00EF5C5D" w:rsidRDefault="002166D9" w:rsidP="005327E8">
      <w:pPr>
        <w:pStyle w:val="texto"/>
        <w:spacing w:before="0" w:after="0" w:line="360" w:lineRule="auto"/>
        <w:ind w:firstLine="0"/>
        <w:rPr>
          <w:rFonts w:cs="Arial"/>
          <w:b/>
          <w:sz w:val="20"/>
          <w:szCs w:val="22"/>
          <w:lang w:val="es-ES"/>
        </w:rPr>
      </w:pPr>
    </w:p>
    <w:p w:rsidR="005327E8" w:rsidRPr="00EF5C5D" w:rsidRDefault="005327E8" w:rsidP="005327E8">
      <w:pPr>
        <w:spacing w:before="0"/>
        <w:rPr>
          <w:szCs w:val="22"/>
          <w:lang w:val="es-ES"/>
        </w:rPr>
      </w:pPr>
      <w:r w:rsidRPr="00EF5C5D">
        <w:rPr>
          <w:szCs w:val="22"/>
          <w:lang w:val="es-ES"/>
        </w:rPr>
        <w:t>Lisboa, ____, de _______ de _____</w:t>
      </w:r>
    </w:p>
    <w:p w:rsidR="002166D9" w:rsidRPr="00EF5C5D" w:rsidRDefault="002166D9" w:rsidP="005327E8">
      <w:pPr>
        <w:spacing w:before="0"/>
        <w:rPr>
          <w:sz w:val="18"/>
          <w:szCs w:val="20"/>
          <w:lang w:val="es-ES"/>
        </w:rPr>
      </w:pPr>
    </w:p>
    <w:p w:rsidR="005327E8" w:rsidRPr="00EF5C5D" w:rsidRDefault="005327E8" w:rsidP="005327E8">
      <w:pPr>
        <w:spacing w:before="0"/>
        <w:rPr>
          <w:sz w:val="18"/>
          <w:szCs w:val="20"/>
          <w:lang w:val="es-ES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2603"/>
        <w:gridCol w:w="441"/>
        <w:gridCol w:w="2644"/>
        <w:gridCol w:w="432"/>
        <w:gridCol w:w="2676"/>
      </w:tblGrid>
      <w:tr w:rsidR="005327E8" w:rsidRPr="00EF5C5D">
        <w:trPr>
          <w:jc w:val="center"/>
        </w:trPr>
        <w:tc>
          <w:tcPr>
            <w:tcW w:w="2603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sz w:val="18"/>
                <w:szCs w:val="20"/>
                <w:lang w:val="es-ES"/>
              </w:rPr>
            </w:pPr>
            <w:r w:rsidRPr="00EF5C5D">
              <w:rPr>
                <w:sz w:val="18"/>
                <w:szCs w:val="20"/>
                <w:lang w:val="es-ES"/>
              </w:rPr>
              <w:t>EL PRIMER OTORGANTE</w:t>
            </w:r>
          </w:p>
        </w:tc>
        <w:tc>
          <w:tcPr>
            <w:tcW w:w="441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sz w:val="18"/>
                <w:szCs w:val="20"/>
                <w:lang w:val="es-ES"/>
              </w:rPr>
            </w:pPr>
          </w:p>
        </w:tc>
        <w:tc>
          <w:tcPr>
            <w:tcW w:w="2644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sz w:val="18"/>
                <w:szCs w:val="20"/>
                <w:lang w:val="es-ES"/>
              </w:rPr>
            </w:pPr>
            <w:r w:rsidRPr="00EF5C5D">
              <w:rPr>
                <w:sz w:val="18"/>
                <w:szCs w:val="20"/>
                <w:lang w:val="es-ES"/>
              </w:rPr>
              <w:t>EL SEGUNDO OTORGANTE</w:t>
            </w:r>
          </w:p>
        </w:tc>
        <w:tc>
          <w:tcPr>
            <w:tcW w:w="432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sz w:val="18"/>
                <w:szCs w:val="20"/>
                <w:lang w:val="es-ES"/>
              </w:rPr>
            </w:pPr>
          </w:p>
        </w:tc>
        <w:tc>
          <w:tcPr>
            <w:tcW w:w="2676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sz w:val="18"/>
                <w:szCs w:val="20"/>
                <w:lang w:val="es-ES"/>
              </w:rPr>
            </w:pPr>
            <w:r w:rsidRPr="00EF5C5D">
              <w:rPr>
                <w:sz w:val="18"/>
                <w:szCs w:val="20"/>
                <w:lang w:val="es-ES"/>
              </w:rPr>
              <w:t>EL TERCER OTORGANTE</w:t>
            </w:r>
          </w:p>
        </w:tc>
      </w:tr>
      <w:tr w:rsidR="005327E8" w:rsidRPr="00EF5C5D">
        <w:trPr>
          <w:jc w:val="center"/>
        </w:trPr>
        <w:tc>
          <w:tcPr>
            <w:tcW w:w="2603" w:type="dxa"/>
            <w:tcBorders>
              <w:bottom w:val="single" w:sz="4" w:space="0" w:color="auto"/>
            </w:tcBorders>
          </w:tcPr>
          <w:p w:rsidR="005327E8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  <w:p w:rsidR="00EF5C5D" w:rsidRPr="00EF5C5D" w:rsidRDefault="00EF5C5D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  <w:p w:rsidR="005327E8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  <w:p w:rsidR="00EF5C5D" w:rsidRPr="00EF5C5D" w:rsidRDefault="00EF5C5D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</w:tc>
        <w:tc>
          <w:tcPr>
            <w:tcW w:w="441" w:type="dxa"/>
          </w:tcPr>
          <w:p w:rsidR="005327E8" w:rsidRPr="00EF5C5D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327E8" w:rsidRPr="00EF5C5D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</w:tc>
        <w:tc>
          <w:tcPr>
            <w:tcW w:w="432" w:type="dxa"/>
          </w:tcPr>
          <w:p w:rsidR="005327E8" w:rsidRPr="00EF5C5D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:rsidR="005327E8" w:rsidRPr="00EF5C5D" w:rsidRDefault="005327E8" w:rsidP="005327E8">
            <w:pPr>
              <w:spacing w:before="120"/>
              <w:ind w:right="-28"/>
              <w:rPr>
                <w:sz w:val="18"/>
                <w:szCs w:val="20"/>
                <w:lang w:val="es-ES"/>
              </w:rPr>
            </w:pPr>
          </w:p>
        </w:tc>
      </w:tr>
      <w:tr w:rsidR="005327E8" w:rsidRPr="00EF5C5D">
        <w:trPr>
          <w:jc w:val="center"/>
        </w:trPr>
        <w:tc>
          <w:tcPr>
            <w:tcW w:w="2603" w:type="dxa"/>
            <w:tcBorders>
              <w:top w:val="single" w:sz="4" w:space="0" w:color="auto"/>
            </w:tcBorders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i/>
                <w:sz w:val="16"/>
                <w:szCs w:val="18"/>
                <w:lang w:val="es-ES"/>
              </w:rPr>
            </w:pPr>
            <w:r w:rsidRPr="00EF5C5D">
              <w:rPr>
                <w:i/>
                <w:sz w:val="16"/>
                <w:szCs w:val="18"/>
                <w:lang w:val="es-ES"/>
              </w:rPr>
              <w:t>(identificación del PRIMER OTORGANTE)</w:t>
            </w:r>
          </w:p>
        </w:tc>
        <w:tc>
          <w:tcPr>
            <w:tcW w:w="441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i/>
                <w:sz w:val="16"/>
                <w:szCs w:val="18"/>
                <w:lang w:val="es-ES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i/>
                <w:sz w:val="16"/>
                <w:szCs w:val="18"/>
                <w:lang w:val="es-ES"/>
              </w:rPr>
            </w:pPr>
            <w:r w:rsidRPr="00EF5C5D">
              <w:rPr>
                <w:i/>
                <w:sz w:val="16"/>
                <w:szCs w:val="18"/>
                <w:lang w:val="es-ES"/>
              </w:rPr>
              <w:t>(identificación del SEGUNDO OTORGANTE)</w:t>
            </w:r>
          </w:p>
        </w:tc>
        <w:tc>
          <w:tcPr>
            <w:tcW w:w="432" w:type="dxa"/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i/>
                <w:sz w:val="16"/>
                <w:szCs w:val="18"/>
                <w:lang w:val="es-ES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:rsidR="005327E8" w:rsidRPr="00EF5C5D" w:rsidRDefault="005327E8" w:rsidP="005327E8">
            <w:pPr>
              <w:spacing w:before="120"/>
              <w:ind w:right="-28"/>
              <w:jc w:val="center"/>
              <w:rPr>
                <w:i/>
                <w:sz w:val="16"/>
                <w:szCs w:val="18"/>
                <w:lang w:val="es-ES"/>
              </w:rPr>
            </w:pPr>
            <w:r w:rsidRPr="00EF5C5D">
              <w:rPr>
                <w:i/>
                <w:sz w:val="16"/>
                <w:szCs w:val="18"/>
                <w:lang w:val="es-ES"/>
              </w:rPr>
              <w:t>(identificación del TERCER OTORGANTE)</w:t>
            </w:r>
          </w:p>
        </w:tc>
      </w:tr>
    </w:tbl>
    <w:p w:rsidR="005327E8" w:rsidRPr="00EF5C5D" w:rsidRDefault="005327E8" w:rsidP="005327E8">
      <w:pPr>
        <w:rPr>
          <w:sz w:val="18"/>
        </w:rPr>
      </w:pPr>
    </w:p>
    <w:sectPr w:rsidR="005327E8" w:rsidRPr="00EF5C5D" w:rsidSect="002166D9">
      <w:headerReference w:type="default" r:id="rId7"/>
      <w:footerReference w:type="default" r:id="rId8"/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0640" w:rsidRDefault="00990640">
      <w:r>
        <w:separator/>
      </w:r>
    </w:p>
  </w:endnote>
  <w:endnote w:type="continuationSeparator" w:id="0">
    <w:p w:rsidR="00990640" w:rsidRDefault="0099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5C5D" w:rsidRPr="002D696F" w:rsidRDefault="00EF5C5D" w:rsidP="00EF5C5D">
    <w:pPr>
      <w:pStyle w:val="Rodap"/>
      <w:pBdr>
        <w:top w:val="single" w:sz="4" w:space="2" w:color="92D050"/>
      </w:pBdr>
      <w:tabs>
        <w:tab w:val="clear" w:pos="8504"/>
        <w:tab w:val="right" w:pos="8505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="008366BA" w:rsidRPr="008366BA">
      <w:rPr>
        <w:noProof/>
        <w:color w:val="BFBFBF"/>
        <w:sz w:val="16"/>
        <w:szCs w:val="14"/>
      </w:rPr>
      <w:t>3</w:t>
    </w:r>
    <w:r w:rsidRPr="002D696F">
      <w:rPr>
        <w:color w:val="BFBFBF"/>
        <w:sz w:val="16"/>
        <w:szCs w:val="14"/>
      </w:rPr>
      <w:fldChar w:fldCharType="end"/>
    </w:r>
  </w:p>
  <w:p w:rsidR="00EF5C5D" w:rsidRPr="002D696F" w:rsidRDefault="00EF5C5D" w:rsidP="00EF5C5D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:rsidR="00EF5C5D" w:rsidRPr="00EF5C5D" w:rsidRDefault="00EF5C5D" w:rsidP="00EF5C5D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E-mail: </w:t>
    </w:r>
    <w:proofErr w:type="spellStart"/>
    <w:r>
      <w:rPr>
        <w:color w:val="BFBFBF"/>
        <w:sz w:val="14"/>
        <w:szCs w:val="14"/>
      </w:rPr>
      <w:t>clearing@omiclear.p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0640" w:rsidRDefault="00990640">
      <w:r>
        <w:separator/>
      </w:r>
    </w:p>
  </w:footnote>
  <w:footnote w:type="continuationSeparator" w:id="0">
    <w:p w:rsidR="00990640" w:rsidRDefault="0099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292F" w:rsidRDefault="00EF5C5D">
    <w:pPr>
      <w:pStyle w:val="Cabealho"/>
    </w:pPr>
    <w:r>
      <w:rPr>
        <w:noProof/>
        <w:lang w:eastAsia="pt-PT"/>
      </w:rPr>
      <w:pict>
        <v:group id="_x0000_s2058" style="position:absolute;left:0;text-align:left;margin-left:-18.1pt;margin-top:-6.2pt;width:299.35pt;height:53.15pt;z-index:2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2059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>
              <w:txbxContent>
                <w:p w:rsidR="00EF5C5D" w:rsidRDefault="00EF5C5D" w:rsidP="00EF5C5D">
                  <w:pPr>
                    <w:spacing w:line="240" w:lineRule="auto"/>
                    <w:rPr>
                      <w:b/>
                      <w:color w:val="7F7F7F"/>
                      <w:lang w:val="es-ES"/>
                    </w:rPr>
                  </w:pPr>
                  <w:r>
                    <w:rPr>
                      <w:b/>
                      <w:color w:val="7F7F7F"/>
                      <w:lang w:val="es-ES"/>
                    </w:rPr>
                    <w:t xml:space="preserve">Modelo C11 </w:t>
                  </w:r>
                </w:p>
                <w:p w:rsidR="00EF5C5D" w:rsidRDefault="00EF5C5D" w:rsidP="00EF5C5D">
                  <w:pPr>
                    <w:spacing w:before="120" w:line="240" w:lineRule="auto"/>
                    <w:rPr>
                      <w:color w:val="7F7F7F"/>
                      <w:lang w:val="es-ES"/>
                    </w:rPr>
                  </w:pPr>
                  <w:r>
                    <w:rPr>
                      <w:color w:val="7F7F7F"/>
                      <w:szCs w:val="20"/>
                      <w:lang w:val="es-ES"/>
                    </w:rPr>
                    <w:t>Acuerdo de Compensación con Cliente</w:t>
                  </w:r>
                </w:p>
              </w:txbxContent>
            </v:textbox>
          </v:shape>
          <v:rect id="Rectângulo 31" o:spid="_x0000_s2060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 w:rsidR="002166D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57.45pt;margin-top:7.4pt;width:100.5pt;height:25.5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58C6"/>
    <w:multiLevelType w:val="hybridMultilevel"/>
    <w:tmpl w:val="B8A658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6B4941"/>
    <w:multiLevelType w:val="hybridMultilevel"/>
    <w:tmpl w:val="156653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945D52"/>
    <w:multiLevelType w:val="hybridMultilevel"/>
    <w:tmpl w:val="D20CB5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374713"/>
    <w:multiLevelType w:val="hybridMultilevel"/>
    <w:tmpl w:val="AA80913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FD0F88"/>
    <w:multiLevelType w:val="hybridMultilevel"/>
    <w:tmpl w:val="2CC25B8A"/>
    <w:lvl w:ilvl="0" w:tplc="D96CB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DA7A6C"/>
    <w:multiLevelType w:val="hybridMultilevel"/>
    <w:tmpl w:val="B5309D26"/>
    <w:lvl w:ilvl="0" w:tplc="F6F82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DD1A99"/>
    <w:multiLevelType w:val="hybridMultilevel"/>
    <w:tmpl w:val="54E68A3E"/>
    <w:lvl w:ilvl="0" w:tplc="02E6AB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27E8"/>
    <w:rsid w:val="0008576A"/>
    <w:rsid w:val="0018240E"/>
    <w:rsid w:val="002166D9"/>
    <w:rsid w:val="0028292F"/>
    <w:rsid w:val="005327E8"/>
    <w:rsid w:val="00621F3A"/>
    <w:rsid w:val="00762AEF"/>
    <w:rsid w:val="007B1EDF"/>
    <w:rsid w:val="008366BA"/>
    <w:rsid w:val="00856F33"/>
    <w:rsid w:val="00874AE2"/>
    <w:rsid w:val="00990640"/>
    <w:rsid w:val="009B5C17"/>
    <w:rsid w:val="00B07E1B"/>
    <w:rsid w:val="00C0637B"/>
    <w:rsid w:val="00D46104"/>
    <w:rsid w:val="00E32E98"/>
    <w:rsid w:val="00E470F1"/>
    <w:rsid w:val="00EB698F"/>
    <w:rsid w:val="00EF5C5D"/>
    <w:rsid w:val="00E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86353C2-AD1A-40E9-8767-1759267F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27E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327E8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327E8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customStyle="1" w:styleId="epigrafeart">
    <w:name w:val="epigrafe_art"/>
    <w:basedOn w:val="texto"/>
    <w:autoRedefine/>
    <w:rsid w:val="005327E8"/>
    <w:pPr>
      <w:spacing w:before="0" w:after="120" w:line="360" w:lineRule="auto"/>
      <w:ind w:firstLine="0"/>
      <w:jc w:val="center"/>
    </w:pPr>
    <w:rPr>
      <w:b/>
      <w:sz w:val="22"/>
      <w:szCs w:val="22"/>
    </w:rPr>
  </w:style>
  <w:style w:type="paragraph" w:styleId="Cabealho">
    <w:name w:val="header"/>
    <w:basedOn w:val="Normal"/>
    <w:rsid w:val="0028292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rsid w:val="0028292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link w:val="Rodap"/>
    <w:rsid w:val="00EF5C5D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3608</Characters>
  <Application>Microsoft Office Word</Application>
  <DocSecurity>4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C11</vt:lpstr>
      <vt:lpstr>Modelo C11</vt:lpstr>
    </vt:vector>
  </TitlesOfParts>
  <Company>REN, SA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C11</dc:title>
  <dc:subject/>
  <dc:creator>dribeiro</dc:creator>
  <cp:keywords/>
  <cp:lastModifiedBy>Ana Claro</cp:lastModifiedBy>
  <cp:revision>3</cp:revision>
  <dcterms:created xsi:type="dcterms:W3CDTF">2019-04-03T08:08:00Z</dcterms:created>
  <dcterms:modified xsi:type="dcterms:W3CDTF">2019-04-03T08:10:00Z</dcterms:modified>
</cp:coreProperties>
</file>