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CFB" w:rsidRPr="00140531" w:rsidRDefault="005D6B98" w:rsidP="009D04D3">
      <w:pPr>
        <w:pStyle w:val="Cabealho1"/>
        <w:spacing w:before="0" w:after="0"/>
        <w:rPr>
          <w:color w:val="92D050"/>
          <w:sz w:val="28"/>
        </w:rPr>
      </w:pPr>
      <w:proofErr w:type="spellStart"/>
      <w:r>
        <w:rPr>
          <w:color w:val="92D050"/>
          <w:sz w:val="28"/>
        </w:rPr>
        <w:t>Model</w:t>
      </w:r>
      <w:proofErr w:type="spellEnd"/>
      <w:r w:rsidR="003262EF" w:rsidRPr="00140531">
        <w:rPr>
          <w:color w:val="92D050"/>
          <w:sz w:val="28"/>
        </w:rPr>
        <w:t xml:space="preserve"> </w:t>
      </w:r>
      <w:r w:rsidR="008D11D5" w:rsidRPr="008D11D5">
        <w:rPr>
          <w:color w:val="92D050"/>
          <w:sz w:val="28"/>
        </w:rPr>
        <w:t>C26</w:t>
      </w:r>
    </w:p>
    <w:p w:rsidR="00F6326C" w:rsidRPr="005D6B98" w:rsidRDefault="005D6B98" w:rsidP="004D61E4">
      <w:pPr>
        <w:pStyle w:val="Cabealho1"/>
        <w:spacing w:before="0" w:after="0" w:line="240" w:lineRule="auto"/>
        <w:rPr>
          <w:color w:val="7F7F7F"/>
          <w:sz w:val="24"/>
          <w:lang w:val="en-US"/>
        </w:rPr>
      </w:pPr>
      <w:r w:rsidRPr="005D6B98">
        <w:rPr>
          <w:color w:val="7F7F7F"/>
          <w:sz w:val="24"/>
          <w:lang w:val="en-US"/>
        </w:rPr>
        <w:t xml:space="preserve">Management of Physical Settlement Accounts </w:t>
      </w:r>
    </w:p>
    <w:tbl>
      <w:tblPr>
        <w:tblpPr w:leftFromText="141" w:rightFromText="141" w:vertAnchor="text" w:horzAnchor="margin" w:tblpXSpec="right" w:tblpY="75"/>
        <w:tblOverlap w:val="never"/>
        <w:tblW w:w="2694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</w:tblGrid>
      <w:tr w:rsidR="006B186D" w:rsidRPr="00B700DA" w:rsidTr="00563B38">
        <w:trPr>
          <w:trHeight w:val="264"/>
        </w:trPr>
        <w:tc>
          <w:tcPr>
            <w:tcW w:w="2269" w:type="dxa"/>
            <w:vAlign w:val="center"/>
          </w:tcPr>
          <w:p w:rsidR="006B186D" w:rsidRPr="00C32B5D" w:rsidRDefault="006B186D" w:rsidP="00563B3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Cs w:val="22"/>
                <w:lang w:val="en-US"/>
              </w:rPr>
            </w:pP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Regist</w:t>
            </w:r>
            <w:r w:rsidR="007F7D8D">
              <w:rPr>
                <w:rFonts w:cs="Arial"/>
                <w:b/>
                <w:color w:val="595959"/>
                <w:szCs w:val="22"/>
                <w:lang w:val="en-GB" w:eastAsia="en-US"/>
              </w:rPr>
              <w:t>r</w:t>
            </w:r>
            <w:r w:rsidR="002A5A1D">
              <w:rPr>
                <w:rFonts w:cs="Arial"/>
                <w:b/>
                <w:color w:val="595959"/>
                <w:szCs w:val="22"/>
                <w:lang w:val="en-GB" w:eastAsia="en-US"/>
              </w:rPr>
              <w:t>ation</w:t>
            </w:r>
          </w:p>
        </w:tc>
        <w:tc>
          <w:tcPr>
            <w:tcW w:w="425" w:type="dxa"/>
            <w:vAlign w:val="center"/>
          </w:tcPr>
          <w:p w:rsidR="006B186D" w:rsidRPr="00563B38" w:rsidRDefault="003C0E7C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6B186D" w:rsidRPr="00B700DA" w:rsidTr="00563B38">
        <w:trPr>
          <w:trHeight w:val="347"/>
        </w:trPr>
        <w:tc>
          <w:tcPr>
            <w:tcW w:w="2269" w:type="dxa"/>
            <w:vAlign w:val="center"/>
          </w:tcPr>
          <w:p w:rsidR="006B186D" w:rsidRPr="00C32B5D" w:rsidRDefault="002A5A1D" w:rsidP="007F7D8D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Cs w:val="22"/>
                <w:lang w:val="en-GB" w:eastAsia="en-US"/>
              </w:rPr>
              <w:t>Cancellation</w:t>
            </w:r>
          </w:p>
        </w:tc>
        <w:tc>
          <w:tcPr>
            <w:tcW w:w="425" w:type="dxa"/>
            <w:vAlign w:val="center"/>
          </w:tcPr>
          <w:p w:rsidR="006B186D" w:rsidRPr="00563B38" w:rsidRDefault="006B186D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563B38">
              <w:rPr>
                <w:rFonts w:ascii="Arial" w:hAnsi="Arial" w:cs="Arial"/>
                <w:sz w:val="22"/>
                <w:lang w:val="en-GB"/>
              </w:rPr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C6972" w:rsidRPr="00B700DA" w:rsidTr="00AC6972">
        <w:trPr>
          <w:trHeight w:val="237"/>
        </w:trPr>
        <w:tc>
          <w:tcPr>
            <w:tcW w:w="2269" w:type="dxa"/>
            <w:vAlign w:val="center"/>
          </w:tcPr>
          <w:p w:rsidR="00AC6972" w:rsidRPr="00C32B5D" w:rsidRDefault="00AC6972" w:rsidP="002A5A1D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Modifica</w:t>
            </w:r>
            <w:r w:rsidR="002A5A1D">
              <w:rPr>
                <w:rFonts w:cs="Arial"/>
                <w:b/>
                <w:color w:val="595959"/>
                <w:szCs w:val="22"/>
                <w:lang w:val="en-GB" w:eastAsia="en-US"/>
              </w:rPr>
              <w:t>tion</w:t>
            </w:r>
          </w:p>
        </w:tc>
        <w:tc>
          <w:tcPr>
            <w:tcW w:w="425" w:type="dxa"/>
            <w:vAlign w:val="center"/>
          </w:tcPr>
          <w:p w:rsidR="00AC6972" w:rsidRPr="00563B38" w:rsidRDefault="00AC6972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563B38">
              <w:rPr>
                <w:rFonts w:ascii="Arial" w:hAnsi="Arial" w:cs="Arial"/>
                <w:sz w:val="22"/>
                <w:lang w:val="en-GB"/>
              </w:rPr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:rsidR="0033368C" w:rsidRDefault="0033368C" w:rsidP="0033368C">
      <w:pPr>
        <w:ind w:left="540" w:right="-180" w:hanging="540"/>
        <w:jc w:val="center"/>
        <w:rPr>
          <w:rFonts w:ascii="Arial Black" w:hAnsi="Arial Black"/>
          <w:b/>
        </w:rPr>
      </w:pPr>
    </w:p>
    <w:p w:rsidR="0033368C" w:rsidRDefault="0033368C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6B186D" w:rsidRDefault="006B186D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214C77" w:rsidRDefault="00214C77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3262EF" w:rsidRPr="002A5A1D" w:rsidRDefault="003262EF" w:rsidP="003262E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n-US"/>
        </w:rPr>
      </w:pPr>
      <w:r w:rsidRPr="002A5A1D">
        <w:rPr>
          <w:rFonts w:ascii="Arial" w:hAnsi="Arial" w:cs="Arial"/>
          <w:b/>
          <w:bCs/>
          <w:sz w:val="20"/>
          <w:szCs w:val="22"/>
          <w:lang w:val="en-US"/>
        </w:rPr>
        <w:t>Identifica</w:t>
      </w:r>
      <w:r w:rsidR="002A5A1D" w:rsidRPr="002A5A1D">
        <w:rPr>
          <w:rFonts w:ascii="Arial" w:hAnsi="Arial" w:cs="Arial"/>
          <w:b/>
          <w:bCs/>
          <w:sz w:val="20"/>
          <w:szCs w:val="22"/>
          <w:lang w:val="en-US"/>
        </w:rPr>
        <w:t>tion</w:t>
      </w:r>
      <w:r w:rsidR="007F7D8D" w:rsidRPr="002A5A1D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="002A5A1D" w:rsidRPr="002A5A1D">
        <w:rPr>
          <w:rFonts w:ascii="Arial" w:hAnsi="Arial" w:cs="Arial"/>
          <w:b/>
          <w:bCs/>
          <w:sz w:val="20"/>
          <w:szCs w:val="22"/>
          <w:lang w:val="en-US"/>
        </w:rPr>
        <w:t>o</w:t>
      </w:r>
      <w:r w:rsidR="002A5A1D">
        <w:rPr>
          <w:rFonts w:ascii="Arial" w:hAnsi="Arial" w:cs="Arial"/>
          <w:b/>
          <w:bCs/>
          <w:sz w:val="20"/>
          <w:szCs w:val="22"/>
          <w:lang w:val="en-US"/>
        </w:rPr>
        <w:t>f the Physical Settlement Agent</w:t>
      </w:r>
    </w:p>
    <w:tbl>
      <w:tblPr>
        <w:tblW w:w="1013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130"/>
        <w:tblGridChange w:id="0">
          <w:tblGrid>
            <w:gridCol w:w="10130"/>
          </w:tblGrid>
        </w:tblGridChange>
      </w:tblGrid>
      <w:tr w:rsidR="003262EF" w:rsidRPr="00A56DEB" w:rsidTr="00EA02DE">
        <w:trPr>
          <w:trHeight w:val="493"/>
        </w:trPr>
        <w:tc>
          <w:tcPr>
            <w:tcW w:w="1013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FB12B5" w:rsidRPr="002A5A1D" w:rsidTr="00A56DEB">
              <w:trPr>
                <w:trHeight w:val="311"/>
              </w:trPr>
              <w:tc>
                <w:tcPr>
                  <w:tcW w:w="397" w:type="dxa"/>
                  <w:shd w:val="clear" w:color="auto" w:fill="auto"/>
                </w:tcPr>
                <w:p w:rsidR="00FB12B5" w:rsidRPr="002A5A1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FB12B5" w:rsidRPr="002A5A1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2A5A1D" w:rsidRDefault="00FB12B5" w:rsidP="00A56DE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2A5A1D" w:rsidRDefault="00FB12B5" w:rsidP="00A56DE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2A5A1D" w:rsidRDefault="00FB12B5" w:rsidP="00A56DE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FB12B5" w:rsidRPr="002A5A1D" w:rsidRDefault="00FB12B5" w:rsidP="00A56DE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3262EF" w:rsidRPr="00A56DEB" w:rsidRDefault="007F7D8D" w:rsidP="003C0E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DEB">
              <w:rPr>
                <w:rFonts w:ascii="Arial" w:hAnsi="Arial" w:cs="Arial"/>
                <w:sz w:val="20"/>
                <w:szCs w:val="20"/>
                <w:lang w:val="en-US"/>
              </w:rPr>
              <w:t>Enti</w:t>
            </w:r>
            <w:r w:rsidR="002A5A1D" w:rsidRPr="00A56DEB">
              <w:rPr>
                <w:rFonts w:ascii="Arial" w:hAnsi="Arial" w:cs="Arial"/>
                <w:sz w:val="20"/>
                <w:szCs w:val="20"/>
                <w:lang w:val="en-US"/>
              </w:rPr>
              <w:t>ty</w:t>
            </w:r>
            <w:r w:rsidR="003262EF" w:rsidRPr="00A56DE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3C0E7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="002A5A1D" w:rsidRPr="00A56DEB">
              <w:rPr>
                <w:rFonts w:ascii="Arial" w:hAnsi="Arial" w:cs="Arial"/>
                <w:sz w:val="20"/>
                <w:szCs w:val="20"/>
                <w:lang w:val="en-US"/>
              </w:rPr>
              <w:t>System Code</w:t>
            </w:r>
            <w:r w:rsidRPr="00A56DE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62EF" w:rsidRPr="00A56D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EA02DE" w:rsidRPr="00A56DEB" w:rsidTr="000A331C">
        <w:trPr>
          <w:trHeight w:val="87"/>
        </w:trPr>
        <w:tc>
          <w:tcPr>
            <w:tcW w:w="10130" w:type="dxa"/>
            <w:tcBorders>
              <w:top w:val="nil"/>
            </w:tcBorders>
            <w:shd w:val="clear" w:color="auto" w:fill="auto"/>
            <w:vAlign w:val="center"/>
          </w:tcPr>
          <w:p w:rsidR="00EA02DE" w:rsidRPr="00A56DEB" w:rsidRDefault="00EA02DE" w:rsidP="000A331C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0A331C" w:rsidRPr="00A56DEB" w:rsidRDefault="000A331C" w:rsidP="00072304">
      <w:pPr>
        <w:ind w:left="540" w:right="-180" w:hanging="540"/>
        <w:rPr>
          <w:rFonts w:ascii="Arial" w:hAnsi="Arial"/>
          <w:b/>
          <w:bCs/>
          <w:lang w:val="en-US"/>
        </w:rPr>
      </w:pPr>
    </w:p>
    <w:p w:rsidR="00EA02DE" w:rsidRPr="002A5A1D" w:rsidRDefault="00EA02DE" w:rsidP="00EA02DE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n-US"/>
        </w:rPr>
      </w:pPr>
      <w:r w:rsidRPr="002A5A1D">
        <w:rPr>
          <w:rFonts w:ascii="Arial" w:hAnsi="Arial" w:cs="Arial"/>
          <w:b/>
          <w:bCs/>
          <w:sz w:val="20"/>
          <w:szCs w:val="22"/>
          <w:lang w:val="en-US"/>
        </w:rPr>
        <w:t>Servi</w:t>
      </w:r>
      <w:r w:rsidR="002A5A1D" w:rsidRPr="002A5A1D">
        <w:rPr>
          <w:rFonts w:ascii="Arial" w:hAnsi="Arial" w:cs="Arial"/>
          <w:b/>
          <w:bCs/>
          <w:sz w:val="20"/>
          <w:szCs w:val="22"/>
          <w:lang w:val="en-US"/>
        </w:rPr>
        <w:t>ce</w:t>
      </w:r>
      <w:r w:rsidRPr="002A5A1D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="002A5A1D" w:rsidRPr="002A5A1D">
        <w:rPr>
          <w:rFonts w:ascii="Arial" w:hAnsi="Arial" w:cs="Arial"/>
          <w:b/>
          <w:bCs/>
          <w:sz w:val="20"/>
          <w:szCs w:val="22"/>
          <w:lang w:val="en-US"/>
        </w:rPr>
        <w:t>on which the Entity acts as Physical Settlement Agent</w:t>
      </w:r>
      <w:r w:rsidR="002A5A1D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="002A5A1D" w:rsidRPr="002A5A1D">
        <w:rPr>
          <w:rFonts w:ascii="Arial" w:hAnsi="Arial" w:cs="Arial"/>
          <w:b/>
          <w:bCs/>
          <w:sz w:val="20"/>
          <w:szCs w:val="22"/>
          <w:lang w:val="en-US"/>
        </w:rPr>
        <w:t>in</w:t>
      </w:r>
      <w:r w:rsidRPr="002A5A1D">
        <w:rPr>
          <w:rFonts w:ascii="Arial" w:hAnsi="Arial" w:cs="Arial"/>
          <w:b/>
          <w:bCs/>
          <w:sz w:val="20"/>
          <w:szCs w:val="22"/>
          <w:lang w:val="en-US"/>
        </w:rPr>
        <w:t xml:space="preserve"> OMIClear</w:t>
      </w:r>
      <w:r w:rsidR="00156445" w:rsidRPr="002A5A1D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="00490367" w:rsidRPr="002A5A1D">
        <w:rPr>
          <w:rFonts w:ascii="Arial" w:hAnsi="Arial" w:cs="Arial"/>
          <w:b/>
          <w:bCs/>
          <w:sz w:val="20"/>
          <w:szCs w:val="22"/>
          <w:vertAlign w:val="superscript"/>
          <w:lang w:val="en-US"/>
        </w:rPr>
        <w:t>(1)</w:t>
      </w:r>
    </w:p>
    <w:tbl>
      <w:tblPr>
        <w:tblW w:w="10064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2"/>
      </w:tblGrid>
      <w:tr w:rsidR="003F75AD" w:rsidRPr="00D24AD7" w:rsidTr="003F75AD">
        <w:tc>
          <w:tcPr>
            <w:tcW w:w="9072" w:type="dxa"/>
            <w:tcBorders>
              <w:right w:val="nil"/>
            </w:tcBorders>
            <w:shd w:val="clear" w:color="auto" w:fill="auto"/>
          </w:tcPr>
          <w:p w:rsidR="003F75AD" w:rsidRPr="00F23AC7" w:rsidRDefault="003F75AD" w:rsidP="005D6B98">
            <w:pPr>
              <w:numPr>
                <w:ilvl w:val="1"/>
                <w:numId w:val="2"/>
              </w:numPr>
              <w:spacing w:before="60" w:line="276" w:lineRule="auto"/>
              <w:ind w:left="459" w:right="-181" w:hanging="459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23AC7">
              <w:rPr>
                <w:rFonts w:ascii="Arial" w:hAnsi="Arial" w:cs="Arial"/>
                <w:bCs/>
                <w:sz w:val="20"/>
                <w:szCs w:val="22"/>
              </w:rPr>
              <w:t>Servi</w:t>
            </w:r>
            <w:r w:rsidR="007F7D8D">
              <w:rPr>
                <w:rFonts w:ascii="Arial" w:hAnsi="Arial" w:cs="Arial"/>
                <w:bCs/>
                <w:sz w:val="20"/>
                <w:szCs w:val="22"/>
              </w:rPr>
              <w:t>c</w:t>
            </w:r>
            <w:r w:rsidR="005D6B98">
              <w:rPr>
                <w:rFonts w:ascii="Arial" w:hAnsi="Arial" w:cs="Arial"/>
                <w:bCs/>
                <w:sz w:val="20"/>
                <w:szCs w:val="22"/>
              </w:rPr>
              <w:t xml:space="preserve">e </w:t>
            </w:r>
            <w:proofErr w:type="spellStart"/>
            <w:r w:rsidR="005D6B98">
              <w:rPr>
                <w:rFonts w:ascii="Arial" w:hAnsi="Arial" w:cs="Arial"/>
                <w:bCs/>
                <w:sz w:val="20"/>
                <w:szCs w:val="22"/>
              </w:rPr>
              <w:t>on</w:t>
            </w:r>
            <w:proofErr w:type="spellEnd"/>
            <w:r w:rsidR="005D6B9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 w:rsidR="005D6B98">
              <w:rPr>
                <w:rFonts w:ascii="Arial" w:hAnsi="Arial" w:cs="Arial"/>
                <w:bCs/>
                <w:sz w:val="20"/>
                <w:szCs w:val="22"/>
              </w:rPr>
              <w:t>Power</w:t>
            </w:r>
            <w:proofErr w:type="spellEnd"/>
            <w:r w:rsidR="005D6B9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 w:rsidR="005D6B98">
              <w:rPr>
                <w:rFonts w:ascii="Arial" w:hAnsi="Arial" w:cs="Arial"/>
                <w:bCs/>
                <w:sz w:val="20"/>
                <w:szCs w:val="22"/>
              </w:rPr>
              <w:t>Derivatives</w:t>
            </w:r>
            <w:proofErr w:type="spellEnd"/>
            <w:r w:rsidR="005D6B9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 w:rsidR="005D6B98">
              <w:rPr>
                <w:rFonts w:ascii="Arial" w:hAnsi="Arial" w:cs="Arial"/>
                <w:bCs/>
                <w:sz w:val="20"/>
                <w:szCs w:val="22"/>
              </w:rPr>
              <w:t>Contracts</w:t>
            </w:r>
            <w:proofErr w:type="spellEnd"/>
            <w:r w:rsidR="005D6B9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F75AD" w:rsidRPr="00D24AD7" w:rsidRDefault="003F75AD" w:rsidP="000A331C">
            <w:pPr>
              <w:spacing w:before="60"/>
              <w:ind w:left="-108"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Pr="00D24AD7">
              <w:rPr>
                <w:rFonts w:ascii="Arial" w:hAnsi="Arial" w:cs="Arial"/>
                <w:lang w:val="en-GB"/>
              </w:rPr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F75AD" w:rsidRPr="00D24AD7" w:rsidTr="003F75AD">
        <w:tc>
          <w:tcPr>
            <w:tcW w:w="9072" w:type="dxa"/>
            <w:tcBorders>
              <w:right w:val="nil"/>
            </w:tcBorders>
            <w:shd w:val="clear" w:color="auto" w:fill="auto"/>
          </w:tcPr>
          <w:p w:rsidR="003F75AD" w:rsidRPr="005D6B98" w:rsidRDefault="005D6B98" w:rsidP="005D6B98">
            <w:pPr>
              <w:numPr>
                <w:ilvl w:val="1"/>
                <w:numId w:val="2"/>
              </w:numPr>
              <w:spacing w:before="60" w:line="276" w:lineRule="auto"/>
              <w:ind w:left="459" w:right="-181" w:hanging="459"/>
              <w:rPr>
                <w:rFonts w:ascii="Arial" w:hAnsi="Arial" w:cs="Arial"/>
                <w:bCs/>
                <w:i/>
                <w:sz w:val="20"/>
                <w:szCs w:val="22"/>
                <w:lang w:val="en-US"/>
              </w:rPr>
            </w:pPr>
            <w:r w:rsidRPr="005D6B98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Service on </w:t>
            </w:r>
            <w:r>
              <w:rPr>
                <w:rFonts w:ascii="Arial" w:hAnsi="Arial" w:cs="Arial"/>
                <w:bCs/>
                <w:sz w:val="20"/>
                <w:szCs w:val="22"/>
                <w:lang w:val="en-US"/>
              </w:rPr>
              <w:t>Natural Gas</w:t>
            </w:r>
            <w:r w:rsidRPr="005D6B98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Derivatives Contracts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F75AD" w:rsidRPr="00D24AD7" w:rsidRDefault="003C0E7C" w:rsidP="000A331C">
            <w:pPr>
              <w:spacing w:before="60"/>
              <w:ind w:left="-108"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0A331C" w:rsidRPr="005D6B98" w:rsidRDefault="005D6B98" w:rsidP="00F63CDD">
      <w:pPr>
        <w:numPr>
          <w:ilvl w:val="0"/>
          <w:numId w:val="16"/>
        </w:numPr>
        <w:spacing w:before="120"/>
        <w:ind w:left="425" w:right="-181" w:firstLine="1"/>
        <w:rPr>
          <w:rFonts w:ascii="Arial" w:hAnsi="Arial" w:cs="Arial"/>
          <w:bCs/>
          <w:i/>
          <w:sz w:val="16"/>
          <w:szCs w:val="22"/>
          <w:lang w:val="en-US"/>
        </w:rPr>
      </w:pPr>
      <w:r w:rsidRPr="005D6B98">
        <w:rPr>
          <w:rFonts w:ascii="Arial" w:hAnsi="Arial" w:cs="Arial"/>
          <w:bCs/>
          <w:i/>
          <w:sz w:val="16"/>
          <w:szCs w:val="22"/>
          <w:lang w:val="en-US"/>
        </w:rPr>
        <w:t xml:space="preserve">To select the </w:t>
      </w:r>
      <w:proofErr w:type="spellStart"/>
      <w:r w:rsidRPr="005D6B98">
        <w:rPr>
          <w:rFonts w:ascii="Arial" w:hAnsi="Arial" w:cs="Arial"/>
          <w:bCs/>
          <w:i/>
          <w:sz w:val="16"/>
          <w:szCs w:val="22"/>
          <w:lang w:val="en-US"/>
        </w:rPr>
        <w:t>OMIClear’s</w:t>
      </w:r>
      <w:proofErr w:type="spellEnd"/>
      <w:r w:rsidRPr="005D6B98">
        <w:rPr>
          <w:rFonts w:ascii="Arial" w:hAnsi="Arial" w:cs="Arial"/>
          <w:bCs/>
          <w:i/>
          <w:sz w:val="16"/>
          <w:szCs w:val="22"/>
          <w:lang w:val="en-US"/>
        </w:rPr>
        <w:t xml:space="preserve"> Service on which the entity will open the Physical Settlement Account</w:t>
      </w:r>
      <w:r w:rsidR="002E4679" w:rsidRPr="005D6B98">
        <w:rPr>
          <w:rFonts w:ascii="Arial" w:hAnsi="Arial" w:cs="Arial"/>
          <w:bCs/>
          <w:i/>
          <w:sz w:val="16"/>
          <w:szCs w:val="22"/>
          <w:lang w:val="en-US"/>
        </w:rPr>
        <w:t>.</w:t>
      </w:r>
    </w:p>
    <w:p w:rsidR="00F63CDD" w:rsidRPr="005D6B98" w:rsidRDefault="00F63CDD" w:rsidP="00F63CDD">
      <w:pPr>
        <w:spacing w:before="120"/>
        <w:ind w:left="426" w:right="-181"/>
        <w:rPr>
          <w:rFonts w:ascii="Arial" w:hAnsi="Arial" w:cs="Arial"/>
          <w:bCs/>
          <w:i/>
          <w:sz w:val="16"/>
          <w:szCs w:val="22"/>
          <w:lang w:val="en-US"/>
        </w:rPr>
      </w:pPr>
    </w:p>
    <w:p w:rsidR="00622BE7" w:rsidRPr="005D6B98" w:rsidRDefault="005D6B98" w:rsidP="005D6B98">
      <w:pPr>
        <w:numPr>
          <w:ilvl w:val="0"/>
          <w:numId w:val="2"/>
        </w:numPr>
        <w:tabs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0"/>
          <w:lang w:val="en-US"/>
        </w:rPr>
      </w:pPr>
      <w:r w:rsidRPr="005D6B98">
        <w:rPr>
          <w:rFonts w:ascii="Arial" w:hAnsi="Arial" w:cs="Arial"/>
          <w:b/>
          <w:bCs/>
          <w:sz w:val="20"/>
          <w:szCs w:val="20"/>
          <w:lang w:val="en-US"/>
        </w:rPr>
        <w:t>Characterization of the Physical Settlement Account</w:t>
      </w:r>
    </w:p>
    <w:tbl>
      <w:tblPr>
        <w:tblW w:w="10064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3685"/>
        <w:gridCol w:w="1559"/>
        <w:gridCol w:w="1418"/>
        <w:gridCol w:w="1559"/>
        <w:gridCol w:w="1843"/>
      </w:tblGrid>
      <w:tr w:rsidR="009E201C" w:rsidRPr="00E42D91" w:rsidTr="009E201C">
        <w:trPr>
          <w:trHeight w:val="375"/>
        </w:trPr>
        <w:tc>
          <w:tcPr>
            <w:tcW w:w="368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9E201C" w:rsidRPr="007F7D8D" w:rsidRDefault="005D6B98" w:rsidP="007F7D8D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proofErr w:type="spellStart"/>
            <w:r w:rsidRPr="005D6B98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Physical</w:t>
            </w:r>
            <w:proofErr w:type="spellEnd"/>
            <w:r w:rsidRPr="005D6B98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Settlement </w:t>
            </w:r>
            <w:proofErr w:type="spellStart"/>
            <w:r w:rsidRPr="005D6B98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Account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’s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Code</w:t>
            </w:r>
            <w:proofErr w:type="spellEnd"/>
          </w:p>
        </w:tc>
        <w:tc>
          <w:tcPr>
            <w:tcW w:w="2977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9E201C" w:rsidRPr="002001F5" w:rsidRDefault="005D6B98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Ownership</w:t>
            </w:r>
            <w:proofErr w:type="spellEnd"/>
            <w:r w:rsidR="009E201C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(2</w:t>
            </w:r>
            <w:r w:rsidR="009E201C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:rsidR="009E201C" w:rsidRPr="00E42D91" w:rsidRDefault="00E42D91" w:rsidP="00E42D91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  <w:lang w:val="en-US"/>
              </w:rPr>
            </w:pPr>
            <w:r w:rsidRPr="00E42D91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Type of Physical Settlement Account</w:t>
            </w:r>
            <w:r w:rsidR="009E201C" w:rsidRPr="00E42D91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2E4679" w:rsidRPr="00E42D91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(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underlying</w:t>
            </w:r>
            <w:r w:rsidR="009E201C" w:rsidRPr="00E42D91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</w:tr>
      <w:tr w:rsidR="009E201C" w:rsidRPr="00491C5D" w:rsidTr="009E201C">
        <w:trPr>
          <w:trHeight w:val="280"/>
        </w:trPr>
        <w:tc>
          <w:tcPr>
            <w:tcW w:w="3685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9E201C" w:rsidRPr="00E42D91" w:rsidRDefault="009E201C" w:rsidP="009A165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9E201C" w:rsidRDefault="005D6B98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</w:rPr>
            </w:pPr>
            <w:proofErr w:type="spellStart"/>
            <w:r>
              <w:rPr>
                <w:rFonts w:ascii="Arial Narrow" w:hAnsi="Arial Narrow"/>
                <w:sz w:val="18"/>
                <w:szCs w:val="16"/>
              </w:rPr>
              <w:t>Own</w:t>
            </w:r>
            <w:proofErr w:type="spellEnd"/>
          </w:p>
        </w:tc>
        <w:tc>
          <w:tcPr>
            <w:tcW w:w="141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9E201C" w:rsidRDefault="005D6B98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</w:rPr>
            </w:pPr>
            <w:proofErr w:type="spellStart"/>
            <w:r>
              <w:rPr>
                <w:rFonts w:ascii="Arial Narrow" w:hAnsi="Arial Narrow"/>
                <w:sz w:val="18"/>
                <w:szCs w:val="16"/>
              </w:rPr>
              <w:t>Client’s</w:t>
            </w:r>
            <w:proofErr w:type="spellEnd"/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F23AC7" w:rsidRDefault="00E42D91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>
              <w:rPr>
                <w:rFonts w:ascii="Arial Narrow" w:hAnsi="Arial Narrow"/>
                <w:sz w:val="18"/>
                <w:szCs w:val="16"/>
                <w:lang w:val="en-GB"/>
              </w:rPr>
              <w:t>Power</w:t>
            </w:r>
          </w:p>
        </w:tc>
        <w:tc>
          <w:tcPr>
            <w:tcW w:w="184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F23AC7" w:rsidRDefault="009E201C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F23AC7">
              <w:rPr>
                <w:rFonts w:ascii="Arial Narrow" w:hAnsi="Arial Narrow"/>
                <w:sz w:val="18"/>
                <w:szCs w:val="16"/>
                <w:lang w:val="en-GB"/>
              </w:rPr>
              <w:t>Natural</w:t>
            </w:r>
            <w:r w:rsidR="00E42D91">
              <w:rPr>
                <w:rFonts w:ascii="Arial Narrow" w:hAnsi="Arial Narrow"/>
                <w:sz w:val="18"/>
                <w:szCs w:val="16"/>
                <w:lang w:val="en-GB"/>
              </w:rPr>
              <w:t xml:space="preserve"> Gas</w:t>
            </w:r>
          </w:p>
        </w:tc>
      </w:tr>
      <w:tr w:rsidR="009E201C" w:rsidRPr="002001F5" w:rsidTr="00B64806">
        <w:trPr>
          <w:trHeight w:val="485"/>
        </w:trPr>
        <w:tc>
          <w:tcPr>
            <w:tcW w:w="368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C32B5D" w:rsidRPr="00E42D91" w:rsidRDefault="00C32B5D" w:rsidP="00C32B5D">
            <w:pPr>
              <w:pStyle w:val="Corpodetexto2"/>
              <w:autoSpaceDE w:val="0"/>
              <w:autoSpaceDN w:val="0"/>
              <w:rPr>
                <w:sz w:val="16"/>
                <w:szCs w:val="20"/>
                <w:lang w:val="es-ES"/>
              </w:rPr>
            </w:pPr>
          </w:p>
          <w:p w:rsidR="00C32B5D" w:rsidRPr="00E42D91" w:rsidRDefault="005D6B98" w:rsidP="00C32B5D">
            <w:pPr>
              <w:pStyle w:val="Corpodetexto2"/>
              <w:autoSpaceDE w:val="0"/>
              <w:autoSpaceDN w:val="0"/>
              <w:rPr>
                <w:sz w:val="16"/>
                <w:szCs w:val="20"/>
                <w:lang w:val="en-US"/>
              </w:rPr>
            </w:pPr>
            <w:r w:rsidRPr="00E42D91">
              <w:rPr>
                <w:sz w:val="16"/>
                <w:szCs w:val="20"/>
                <w:lang w:val="en-US"/>
              </w:rPr>
              <w:t>If</w:t>
            </w:r>
            <w:r w:rsidR="00C32B5D" w:rsidRPr="00E42D91">
              <w:rPr>
                <w:sz w:val="16"/>
                <w:szCs w:val="20"/>
                <w:lang w:val="en-US"/>
              </w:rPr>
              <w:t xml:space="preserve"> </w:t>
            </w:r>
            <w:r w:rsidR="00E42D91" w:rsidRPr="00E42D91">
              <w:rPr>
                <w:sz w:val="16"/>
                <w:szCs w:val="20"/>
                <w:u w:val="single"/>
                <w:lang w:val="en-US"/>
              </w:rPr>
              <w:t>Power</w:t>
            </w:r>
            <w:r w:rsidR="00E42D91" w:rsidRPr="00E42D91">
              <w:rPr>
                <w:sz w:val="16"/>
                <w:szCs w:val="20"/>
                <w:lang w:val="en-US"/>
              </w:rPr>
              <w:t xml:space="preserve"> Physical Settlement Account</w:t>
            </w:r>
            <w:r w:rsidR="00C32B5D" w:rsidRPr="00E42D91">
              <w:rPr>
                <w:sz w:val="16"/>
                <w:szCs w:val="20"/>
                <w:u w:val="single"/>
                <w:lang w:val="en-US"/>
              </w:rPr>
              <w:t xml:space="preserve"> </w:t>
            </w:r>
            <w:r w:rsidR="002E4679" w:rsidRPr="00E42D91">
              <w:rPr>
                <w:sz w:val="16"/>
                <w:szCs w:val="20"/>
                <w:lang w:val="en-US"/>
              </w:rPr>
              <w:t>(</w:t>
            </w:r>
            <w:r w:rsidR="000D2EE1">
              <w:rPr>
                <w:sz w:val="16"/>
                <w:szCs w:val="20"/>
                <w:lang w:val="en-US"/>
              </w:rPr>
              <w:t xml:space="preserve">please insert the code of </w:t>
            </w:r>
            <w:r w:rsidR="00E42D91">
              <w:rPr>
                <w:sz w:val="16"/>
                <w:szCs w:val="20"/>
                <w:lang w:val="en-US"/>
              </w:rPr>
              <w:t xml:space="preserve">“UCP” </w:t>
            </w:r>
            <w:r w:rsidR="000D2EE1">
              <w:rPr>
                <w:sz w:val="16"/>
                <w:szCs w:val="20"/>
                <w:lang w:val="en-US"/>
              </w:rPr>
              <w:t xml:space="preserve">account </w:t>
            </w:r>
            <w:r w:rsidR="00E42D91">
              <w:rPr>
                <w:sz w:val="16"/>
                <w:szCs w:val="20"/>
                <w:lang w:val="en-US"/>
              </w:rPr>
              <w:t>in OMIE</w:t>
            </w:r>
            <w:r w:rsidR="00C32B5D" w:rsidRPr="00E42D91">
              <w:rPr>
                <w:sz w:val="16"/>
                <w:szCs w:val="20"/>
                <w:lang w:val="en-US"/>
              </w:rPr>
              <w:t>):</w:t>
            </w:r>
          </w:p>
          <w:p w:rsidR="00C32B5D" w:rsidRPr="00E42D91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b/>
                <w:sz w:val="18"/>
                <w:szCs w:val="20"/>
                <w:lang w:val="es-ES"/>
              </w:rPr>
            </w:pPr>
            <w:r w:rsidRPr="002E4679">
              <w:rPr>
                <w:sz w:val="18"/>
                <w:szCs w:val="20"/>
                <w:lang w:val="es-ES"/>
              </w:rPr>
              <w:t>_________________________________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C32B5D" w:rsidRPr="00E42D91" w:rsidRDefault="00E42D91" w:rsidP="003C0E7C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  <w:r w:rsidRPr="00E42D91">
              <w:rPr>
                <w:sz w:val="16"/>
                <w:szCs w:val="20"/>
                <w:lang w:val="en-US"/>
              </w:rPr>
              <w:t xml:space="preserve">If </w:t>
            </w:r>
            <w:r>
              <w:rPr>
                <w:sz w:val="16"/>
                <w:szCs w:val="20"/>
                <w:u w:val="single"/>
                <w:lang w:val="en-US"/>
              </w:rPr>
              <w:t>Natural Gas</w:t>
            </w:r>
            <w:r w:rsidRPr="00E42D91">
              <w:rPr>
                <w:sz w:val="16"/>
                <w:szCs w:val="20"/>
                <w:lang w:val="en-US"/>
              </w:rPr>
              <w:t xml:space="preserve"> Physical Settlement Account</w:t>
            </w:r>
            <w:r w:rsidRPr="00E42D91">
              <w:rPr>
                <w:sz w:val="16"/>
                <w:szCs w:val="20"/>
                <w:u w:val="single"/>
                <w:lang w:val="en-US"/>
              </w:rPr>
              <w:t xml:space="preserve"> </w:t>
            </w:r>
            <w:r w:rsidR="000D2EE1">
              <w:rPr>
                <w:sz w:val="16"/>
                <w:szCs w:val="20"/>
                <w:u w:val="single"/>
                <w:lang w:val="en-US"/>
              </w:rPr>
              <w:t>(</w:t>
            </w:r>
            <w:r w:rsidR="000D2EE1">
              <w:rPr>
                <w:sz w:val="16"/>
                <w:szCs w:val="20"/>
                <w:lang w:val="en-US"/>
              </w:rPr>
              <w:t xml:space="preserve">please insert the </w:t>
            </w:r>
            <w:r w:rsidR="000D2EE1" w:rsidRPr="000D2EE1">
              <w:rPr>
                <w:sz w:val="16"/>
                <w:szCs w:val="20"/>
                <w:lang w:val="en-US"/>
              </w:rPr>
              <w:t xml:space="preserve">EIC – </w:t>
            </w:r>
            <w:r w:rsidR="000D2EE1" w:rsidRPr="000D2EE1">
              <w:rPr>
                <w:i/>
                <w:sz w:val="16"/>
                <w:szCs w:val="20"/>
                <w:lang w:val="en-US"/>
              </w:rPr>
              <w:t>Energy Identification  Code</w:t>
            </w:r>
          </w:p>
          <w:p w:rsidR="009E201C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  <w:r w:rsidRPr="002E4679">
              <w:rPr>
                <w:sz w:val="18"/>
                <w:szCs w:val="20"/>
                <w:lang w:val="es-ES"/>
              </w:rPr>
              <w:t>_________________________________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Pr="00491C5D" w:rsidRDefault="003C0E7C" w:rsidP="00B64806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Default="009E201C" w:rsidP="00B64806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9E201C" w:rsidRPr="00491C5D" w:rsidRDefault="009E201C" w:rsidP="0049036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Default="003C0E7C" w:rsidP="0049036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</w:tbl>
    <w:p w:rsidR="00C32B5D" w:rsidRPr="00E42D91" w:rsidRDefault="00C32B5D" w:rsidP="00C32B5D">
      <w:pPr>
        <w:spacing w:before="120"/>
        <w:ind w:left="357" w:right="-181"/>
        <w:rPr>
          <w:rFonts w:ascii="Arial" w:hAnsi="Arial" w:cs="Arial"/>
          <w:bCs/>
          <w:i/>
          <w:sz w:val="16"/>
          <w:szCs w:val="22"/>
          <w:lang w:val="en-US"/>
        </w:rPr>
      </w:pPr>
      <w:r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(2) </w:t>
      </w:r>
      <w:r w:rsidR="00E42D91" w:rsidRPr="00E42D91">
        <w:rPr>
          <w:rFonts w:ascii="Arial" w:hAnsi="Arial" w:cs="Arial"/>
          <w:bCs/>
          <w:i/>
          <w:sz w:val="16"/>
          <w:szCs w:val="22"/>
          <w:lang w:val="en-US"/>
        </w:rPr>
        <w:t>To define the ownership of the account</w:t>
      </w:r>
      <w:r w:rsidRPr="00E42D91">
        <w:rPr>
          <w:rFonts w:ascii="Arial" w:hAnsi="Arial" w:cs="Arial"/>
          <w:bCs/>
          <w:i/>
          <w:sz w:val="16"/>
          <w:szCs w:val="22"/>
          <w:lang w:val="en-US"/>
        </w:rPr>
        <w:t>:</w:t>
      </w:r>
    </w:p>
    <w:p w:rsidR="00E42D91" w:rsidRDefault="00E42D91" w:rsidP="00E42D91">
      <w:pPr>
        <w:numPr>
          <w:ilvl w:val="0"/>
          <w:numId w:val="19"/>
        </w:numPr>
        <w:spacing w:before="60"/>
        <w:ind w:right="-24"/>
        <w:jc w:val="both"/>
        <w:rPr>
          <w:rFonts w:ascii="Arial" w:hAnsi="Arial" w:cs="Arial"/>
          <w:bCs/>
          <w:i/>
          <w:sz w:val="16"/>
          <w:szCs w:val="22"/>
          <w:lang w:val="en-US"/>
        </w:rPr>
      </w:pPr>
      <w:r w:rsidRPr="00E42D91">
        <w:rPr>
          <w:rFonts w:ascii="Arial" w:hAnsi="Arial" w:cs="Arial"/>
          <w:bCs/>
          <w:i/>
          <w:sz w:val="16"/>
          <w:szCs w:val="22"/>
          <w:u w:val="single"/>
          <w:lang w:val="en-US"/>
        </w:rPr>
        <w:t>Own</w:t>
      </w:r>
      <w:r w:rsidR="00E96406" w:rsidRPr="00E42D91">
        <w:rPr>
          <w:rFonts w:ascii="Arial" w:hAnsi="Arial" w:cs="Arial"/>
          <w:bCs/>
          <w:i/>
          <w:sz w:val="16"/>
          <w:szCs w:val="22"/>
          <w:u w:val="single"/>
          <w:lang w:val="en-US"/>
        </w:rPr>
        <w:t xml:space="preserve"> </w:t>
      </w:r>
      <w:r w:rsidR="00E96406"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– </w:t>
      </w:r>
      <w:r w:rsidRPr="00E42D91">
        <w:rPr>
          <w:rFonts w:ascii="Arial" w:hAnsi="Arial" w:cs="Arial"/>
          <w:bCs/>
          <w:i/>
          <w:sz w:val="16"/>
          <w:szCs w:val="22"/>
          <w:lang w:val="en-US"/>
        </w:rPr>
        <w:t>the owner is the Physical Settlement Agent which intends to physically settle the Positions</w:t>
      </w:r>
      <w:r w:rsidR="00E96406"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 regist</w:t>
      </w:r>
      <w:r w:rsidRPr="00E42D91">
        <w:rPr>
          <w:rFonts w:ascii="Arial" w:hAnsi="Arial" w:cs="Arial"/>
          <w:bCs/>
          <w:i/>
          <w:sz w:val="16"/>
          <w:szCs w:val="22"/>
          <w:lang w:val="en-US"/>
        </w:rPr>
        <w:t>ered</w:t>
      </w:r>
      <w:r w:rsidR="002E4679"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 </w:t>
      </w:r>
      <w:r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in Registration Accounts owned by the same entity or by an entity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with which it s</w:t>
      </w:r>
      <w:r w:rsidRPr="00E42D91">
        <w:rPr>
          <w:rFonts w:ascii="Arial" w:hAnsi="Arial" w:cs="Arial"/>
          <w:bCs/>
          <w:i/>
          <w:sz w:val="16"/>
          <w:szCs w:val="22"/>
          <w:lang w:val="en-US"/>
        </w:rPr>
        <w:t>hares a dominant or group relationship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.</w:t>
      </w:r>
    </w:p>
    <w:p w:rsidR="009E201C" w:rsidRPr="00CD60C5" w:rsidRDefault="00E42D91" w:rsidP="00E42D91">
      <w:pPr>
        <w:numPr>
          <w:ilvl w:val="0"/>
          <w:numId w:val="19"/>
        </w:numPr>
        <w:spacing w:before="60"/>
        <w:ind w:right="-24"/>
        <w:jc w:val="both"/>
        <w:rPr>
          <w:rFonts w:ascii="Arial" w:hAnsi="Arial" w:cs="Arial"/>
          <w:bCs/>
          <w:i/>
          <w:sz w:val="16"/>
          <w:szCs w:val="22"/>
          <w:lang w:val="en-US"/>
        </w:rPr>
      </w:pPr>
      <w:r w:rsidRPr="00CD60C5">
        <w:rPr>
          <w:rFonts w:ascii="Arial" w:hAnsi="Arial" w:cs="Arial"/>
          <w:bCs/>
          <w:i/>
          <w:sz w:val="16"/>
          <w:szCs w:val="22"/>
          <w:u w:val="single"/>
          <w:lang w:val="en-US"/>
        </w:rPr>
        <w:t>Client’s</w:t>
      </w:r>
      <w:r w:rsidR="00E96406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 -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the owner is a client with which Physical Settlement Agent signed a </w:t>
      </w:r>
      <w:r w:rsidR="00CD60C5"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Physical Settlement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Agreement</w:t>
      </w:r>
      <w:r w:rsidR="002E4679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,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in order to ensure</w:t>
      </w:r>
      <w:r w:rsidR="002E4679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the physical delivery of the </w:t>
      </w:r>
      <w:r w:rsidR="00CD60C5" w:rsidRPr="00E42D91">
        <w:rPr>
          <w:rFonts w:ascii="Arial" w:hAnsi="Arial" w:cs="Arial"/>
          <w:bCs/>
          <w:i/>
          <w:sz w:val="16"/>
          <w:szCs w:val="22"/>
          <w:lang w:val="en-US"/>
        </w:rPr>
        <w:t>Positions registered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 in</w:t>
      </w:r>
      <w:r w:rsidR="00CD60C5" w:rsidRPr="00E42D91">
        <w:rPr>
          <w:rFonts w:ascii="Arial" w:hAnsi="Arial" w:cs="Arial"/>
          <w:bCs/>
          <w:i/>
          <w:sz w:val="16"/>
          <w:szCs w:val="22"/>
          <w:lang w:val="en-US"/>
        </w:rPr>
        <w:t xml:space="preserve"> Registration Accounts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owned by said client</w:t>
      </w:r>
      <w:r w:rsidR="00E96406" w:rsidRPr="00CD60C5">
        <w:rPr>
          <w:rFonts w:ascii="Arial" w:hAnsi="Arial" w:cs="Arial"/>
          <w:bCs/>
          <w:i/>
          <w:sz w:val="16"/>
          <w:szCs w:val="22"/>
          <w:lang w:val="en-US"/>
        </w:rPr>
        <w:t>.</w:t>
      </w:r>
    </w:p>
    <w:p w:rsidR="008E4D0E" w:rsidRPr="00CD60C5" w:rsidRDefault="008E4D0E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n-US" w:eastAsia="pt-PT"/>
        </w:rPr>
      </w:pPr>
    </w:p>
    <w:p w:rsidR="00743E8A" w:rsidRPr="00CD60C5" w:rsidRDefault="00CD60C5" w:rsidP="00CD60C5">
      <w:pPr>
        <w:numPr>
          <w:ilvl w:val="0"/>
          <w:numId w:val="2"/>
        </w:num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0"/>
          <w:szCs w:val="22"/>
          <w:lang w:val="en-US"/>
        </w:rPr>
      </w:pPr>
      <w:r w:rsidRPr="00CD60C5">
        <w:rPr>
          <w:rFonts w:ascii="Arial" w:hAnsi="Arial" w:cs="Arial"/>
          <w:b/>
          <w:bCs/>
          <w:sz w:val="20"/>
          <w:szCs w:val="22"/>
          <w:lang w:val="en-US"/>
        </w:rPr>
        <w:t>Registration Account</w:t>
      </w:r>
      <w:r w:rsidR="00743E8A" w:rsidRPr="00CD60C5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Pr="00CD60C5">
        <w:rPr>
          <w:rFonts w:ascii="Arial" w:hAnsi="Arial" w:cs="Arial"/>
          <w:b/>
          <w:bCs/>
          <w:sz w:val="20"/>
          <w:szCs w:val="22"/>
          <w:lang w:val="en-US"/>
        </w:rPr>
        <w:t xml:space="preserve">connected to the </w:t>
      </w:r>
      <w:r>
        <w:rPr>
          <w:rFonts w:ascii="Arial" w:hAnsi="Arial" w:cs="Arial"/>
          <w:b/>
          <w:bCs/>
          <w:sz w:val="20"/>
          <w:szCs w:val="22"/>
          <w:lang w:val="en-US"/>
        </w:rPr>
        <w:t>Physical Settlement Account</w:t>
      </w:r>
    </w:p>
    <w:tbl>
      <w:tblPr>
        <w:tblW w:w="10064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4819"/>
        <w:gridCol w:w="5245"/>
      </w:tblGrid>
      <w:tr w:rsidR="00C32B5D" w:rsidRPr="00CD60C5" w:rsidTr="00C32B5D">
        <w:trPr>
          <w:trHeight w:val="328"/>
        </w:trPr>
        <w:tc>
          <w:tcPr>
            <w:tcW w:w="48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:rsidR="00C32B5D" w:rsidRPr="00743E8A" w:rsidRDefault="00CD60C5" w:rsidP="00FC385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Registration</w:t>
            </w:r>
            <w:proofErr w:type="spellEnd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Account’s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="00C32B5D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524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:rsidR="00C32B5D" w:rsidRPr="00CD60C5" w:rsidRDefault="00CD60C5" w:rsidP="002E467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CD60C5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Name of the Registration Age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n</w:t>
            </w:r>
            <w:r w:rsidRPr="00CD60C5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t or </w:t>
            </w:r>
            <w:r w:rsidR="00C32B5D" w:rsidRPr="00CD60C5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CD60C5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Registration Age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n</w:t>
            </w:r>
            <w:r w:rsidRPr="00CD60C5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’s Client</w:t>
            </w:r>
          </w:p>
        </w:tc>
      </w:tr>
      <w:tr w:rsidR="00C32B5D" w:rsidRPr="00CD60C5" w:rsidTr="00C32B5D">
        <w:trPr>
          <w:trHeight w:val="1648"/>
        </w:trPr>
        <w:tc>
          <w:tcPr>
            <w:tcW w:w="48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C32B5D" w:rsidRPr="00CD60C5" w:rsidRDefault="00CD60C5" w:rsidP="00FC3858">
            <w:pPr>
              <w:pStyle w:val="Corpodetexto2"/>
              <w:autoSpaceDE w:val="0"/>
              <w:autoSpaceDN w:val="0"/>
              <w:spacing w:before="120"/>
              <w:rPr>
                <w:b/>
                <w:sz w:val="18"/>
                <w:szCs w:val="20"/>
                <w:lang w:val="en-US"/>
              </w:rPr>
            </w:pPr>
            <w:r w:rsidRPr="00CD60C5">
              <w:rPr>
                <w:sz w:val="18"/>
                <w:szCs w:val="20"/>
                <w:lang w:val="en-US"/>
              </w:rPr>
              <w:t>If</w:t>
            </w:r>
            <w:r w:rsidR="00C32B5D" w:rsidRPr="00CD60C5">
              <w:rPr>
                <w:sz w:val="18"/>
                <w:szCs w:val="20"/>
                <w:lang w:val="en-US"/>
              </w:rPr>
              <w:t xml:space="preserve"> </w:t>
            </w:r>
            <w:r w:rsidRPr="00CD60C5">
              <w:rPr>
                <w:sz w:val="18"/>
                <w:szCs w:val="20"/>
                <w:lang w:val="en-US"/>
              </w:rPr>
              <w:t xml:space="preserve">Power Registration Account </w:t>
            </w:r>
            <w:r w:rsidR="00156445" w:rsidRPr="00CD60C5">
              <w:rPr>
                <w:sz w:val="18"/>
                <w:szCs w:val="20"/>
                <w:lang w:val="en-US"/>
              </w:rPr>
              <w:t>(</w:t>
            </w:r>
            <w:r>
              <w:rPr>
                <w:sz w:val="18"/>
                <w:szCs w:val="20"/>
                <w:lang w:val="en-US"/>
              </w:rPr>
              <w:t>Physical</w:t>
            </w:r>
            <w:r w:rsidR="00156445" w:rsidRPr="00CD60C5">
              <w:rPr>
                <w:sz w:val="18"/>
                <w:szCs w:val="20"/>
                <w:lang w:val="en-US"/>
              </w:rPr>
              <w:t>)</w:t>
            </w:r>
            <w:r w:rsidR="00C32B5D" w:rsidRPr="00CD60C5">
              <w:rPr>
                <w:sz w:val="18"/>
                <w:szCs w:val="20"/>
                <w:lang w:val="en-US"/>
              </w:rPr>
              <w:t>:</w:t>
            </w:r>
          </w:p>
          <w:tbl>
            <w:tblPr>
              <w:tblpPr w:leftFromText="141" w:rightFromText="141" w:vertAnchor="page" w:horzAnchor="margin" w:tblpY="352"/>
              <w:tblOverlap w:val="never"/>
              <w:tblW w:w="3282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32B5D" w:rsidRPr="0025680C" w:rsidTr="00FC3858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680C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32B5D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1107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32B5D" w:rsidRPr="0025680C" w:rsidTr="00145D94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3C0E7C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32B5D" w:rsidRDefault="00C32B5D" w:rsidP="00FC3858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p w:rsidR="00CD60C5" w:rsidRPr="00CD60C5" w:rsidRDefault="00CD60C5" w:rsidP="00CD60C5">
            <w:pPr>
              <w:pStyle w:val="Corpodetexto2"/>
              <w:autoSpaceDE w:val="0"/>
              <w:autoSpaceDN w:val="0"/>
              <w:spacing w:before="120"/>
              <w:rPr>
                <w:b/>
                <w:sz w:val="18"/>
                <w:szCs w:val="20"/>
                <w:lang w:val="en-US"/>
              </w:rPr>
            </w:pPr>
            <w:r w:rsidRPr="00CD60C5">
              <w:rPr>
                <w:sz w:val="18"/>
                <w:szCs w:val="20"/>
                <w:lang w:val="en-US"/>
              </w:rPr>
              <w:t xml:space="preserve">If </w:t>
            </w:r>
            <w:r>
              <w:rPr>
                <w:sz w:val="18"/>
                <w:szCs w:val="20"/>
                <w:lang w:val="en-US"/>
              </w:rPr>
              <w:t>Natural Gas</w:t>
            </w:r>
            <w:r w:rsidRPr="00CD60C5">
              <w:rPr>
                <w:sz w:val="18"/>
                <w:szCs w:val="20"/>
                <w:lang w:val="en-US"/>
              </w:rPr>
              <w:t xml:space="preserve"> Registration Account (</w:t>
            </w:r>
            <w:r>
              <w:rPr>
                <w:sz w:val="18"/>
                <w:szCs w:val="20"/>
                <w:lang w:val="en-US"/>
              </w:rPr>
              <w:t>Physical</w:t>
            </w:r>
            <w:r w:rsidRPr="00CD60C5">
              <w:rPr>
                <w:sz w:val="18"/>
                <w:szCs w:val="20"/>
                <w:lang w:val="en-US"/>
              </w:rPr>
              <w:t>):</w:t>
            </w:r>
          </w:p>
          <w:p w:rsidR="00C32B5D" w:rsidRPr="00CD60C5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C32B5D" w:rsidRPr="00CD60C5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63B38" w:rsidRPr="00CD60C5" w:rsidRDefault="002E4679" w:rsidP="00CD60C5">
      <w:pPr>
        <w:spacing w:before="120"/>
        <w:ind w:left="357" w:right="-23"/>
        <w:rPr>
          <w:rFonts w:ascii="Arial" w:hAnsi="Arial" w:cs="Arial"/>
          <w:sz w:val="22"/>
          <w:szCs w:val="22"/>
          <w:vertAlign w:val="superscript"/>
          <w:lang w:val="en-US" w:eastAsia="pt-PT"/>
        </w:rPr>
      </w:pPr>
      <w:r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(3) 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>If Service</w:t>
      </w:r>
      <w:r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 2.1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was selected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>please only fill out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 the code of the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>Power Registration Account</w:t>
      </w:r>
      <w:r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.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>If Service 2.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2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 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was selected 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>please only fill out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 xml:space="preserve"> the code of the Natural Gas</w:t>
      </w:r>
      <w:r w:rsidR="00CD60C5" w:rsidRPr="00CD60C5">
        <w:rPr>
          <w:rFonts w:ascii="Arial" w:hAnsi="Arial" w:cs="Arial"/>
          <w:bCs/>
          <w:i/>
          <w:sz w:val="16"/>
          <w:szCs w:val="22"/>
          <w:lang w:val="en-US"/>
        </w:rPr>
        <w:t xml:space="preserve"> Registration Account</w:t>
      </w:r>
      <w:r w:rsidR="00CD60C5">
        <w:rPr>
          <w:rFonts w:ascii="Arial" w:hAnsi="Arial" w:cs="Arial"/>
          <w:bCs/>
          <w:i/>
          <w:sz w:val="16"/>
          <w:szCs w:val="22"/>
          <w:lang w:val="en-US"/>
        </w:rPr>
        <w:t>.</w:t>
      </w:r>
    </w:p>
    <w:p w:rsidR="00CD60C5" w:rsidRPr="00CD60C5" w:rsidRDefault="00CD60C5" w:rsidP="00C36F1C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2"/>
          <w:lang w:val="en-US" w:eastAsia="pt-PT"/>
        </w:rPr>
      </w:pPr>
    </w:p>
    <w:p w:rsidR="00C36F1C" w:rsidRPr="00CD60C5" w:rsidRDefault="00CD60C5" w:rsidP="00C36F1C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2"/>
          <w:lang w:val="en-US"/>
        </w:rPr>
      </w:pPr>
      <w:r w:rsidRPr="00CD60C5">
        <w:rPr>
          <w:rFonts w:ascii="Arial" w:hAnsi="Arial" w:cs="Arial"/>
          <w:b/>
          <w:sz w:val="20"/>
          <w:szCs w:val="22"/>
          <w:lang w:val="en-US" w:eastAsia="pt-PT"/>
        </w:rPr>
        <w:t>Date</w:t>
      </w:r>
      <w:r w:rsidR="00C36F1C" w:rsidRPr="00CD60C5">
        <w:rPr>
          <w:rFonts w:ascii="Arial" w:hAnsi="Arial" w:cs="Arial"/>
          <w:b/>
          <w:sz w:val="20"/>
          <w:szCs w:val="22"/>
          <w:lang w:val="en-US" w:eastAsia="pt-PT"/>
        </w:rPr>
        <w:t>:</w:t>
      </w:r>
      <w:r w:rsidR="00C36F1C" w:rsidRPr="00CD60C5">
        <w:rPr>
          <w:rFonts w:ascii="Arial" w:hAnsi="Arial" w:cs="Arial"/>
          <w:sz w:val="20"/>
          <w:szCs w:val="22"/>
          <w:lang w:val="en-US" w:eastAsia="pt-PT"/>
        </w:rPr>
        <w:t xml:space="preserve">  </w:t>
      </w:r>
    </w:p>
    <w:p w:rsidR="00C36F1C" w:rsidRPr="00CD60C5" w:rsidRDefault="00C36F1C" w:rsidP="00C36F1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sz w:val="20"/>
          <w:szCs w:val="22"/>
          <w:lang w:val="en-US" w:eastAsia="pt-PT"/>
        </w:rPr>
      </w:pPr>
    </w:p>
    <w:p w:rsidR="00C36F1C" w:rsidRPr="00CD60C5" w:rsidRDefault="00CD60C5" w:rsidP="00C36F1C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sz w:val="20"/>
          <w:szCs w:val="22"/>
          <w:lang w:val="en-US"/>
        </w:rPr>
      </w:pPr>
      <w:r w:rsidRPr="00CD60C5">
        <w:rPr>
          <w:rFonts w:ascii="Arial" w:hAnsi="Arial" w:cs="Arial"/>
          <w:b/>
          <w:sz w:val="20"/>
          <w:szCs w:val="22"/>
          <w:lang w:val="en-US" w:eastAsia="pt-PT"/>
        </w:rPr>
        <w:t>Signature</w:t>
      </w:r>
      <w:r w:rsidR="00C36F1C" w:rsidRPr="00CD60C5">
        <w:rPr>
          <w:rFonts w:ascii="Arial" w:hAnsi="Arial" w:cs="Arial"/>
          <w:b/>
          <w:sz w:val="20"/>
          <w:szCs w:val="22"/>
          <w:lang w:val="en-US" w:eastAsia="pt-PT"/>
        </w:rPr>
        <w:t xml:space="preserve">: </w:t>
      </w:r>
      <w:r w:rsidR="00C36F1C" w:rsidRPr="00CD60C5">
        <w:rPr>
          <w:rFonts w:ascii="Arial" w:hAnsi="Arial" w:cs="Arial"/>
          <w:color w:val="808080"/>
          <w:sz w:val="20"/>
          <w:szCs w:val="22"/>
          <w:lang w:val="en-US" w:eastAsia="pt-PT"/>
        </w:rPr>
        <w:t xml:space="preserve"> _______________________________________________________________________</w:t>
      </w:r>
      <w:r w:rsidR="00156445" w:rsidRPr="00CD60C5">
        <w:rPr>
          <w:rFonts w:ascii="Arial" w:hAnsi="Arial" w:cs="Arial"/>
          <w:color w:val="808080"/>
          <w:sz w:val="20"/>
          <w:szCs w:val="22"/>
          <w:lang w:val="en-US" w:eastAsia="pt-PT"/>
        </w:rPr>
        <w:t>________</w:t>
      </w:r>
    </w:p>
    <w:p w:rsidR="00C36F1C" w:rsidRPr="00CD60C5" w:rsidRDefault="00C36F1C" w:rsidP="002E4679">
      <w:pPr>
        <w:spacing w:before="60" w:line="276" w:lineRule="auto"/>
        <w:ind w:left="425"/>
        <w:rPr>
          <w:rFonts w:ascii="Arial" w:hAnsi="Arial" w:cs="Arial"/>
          <w:i/>
          <w:sz w:val="18"/>
          <w:szCs w:val="18"/>
          <w:lang w:val="en-US"/>
        </w:rPr>
      </w:pPr>
      <w:r w:rsidRPr="00CD60C5">
        <w:rPr>
          <w:rFonts w:ascii="Arial" w:hAnsi="Arial" w:cs="Arial"/>
          <w:i/>
          <w:sz w:val="18"/>
          <w:szCs w:val="18"/>
          <w:lang w:val="en-US"/>
        </w:rPr>
        <w:t>[</w:t>
      </w:r>
      <w:r w:rsidR="00CD60C5" w:rsidRPr="00CD60C5">
        <w:rPr>
          <w:rFonts w:ascii="Arial" w:hAnsi="Arial" w:cs="Arial"/>
          <w:i/>
          <w:sz w:val="18"/>
          <w:szCs w:val="18"/>
          <w:lang w:val="en-US"/>
        </w:rPr>
        <w:t>Physical Settlement Agent’s Representative</w:t>
      </w:r>
      <w:r w:rsidRPr="00CD60C5">
        <w:rPr>
          <w:rFonts w:ascii="Arial" w:hAnsi="Arial" w:cs="Arial"/>
          <w:i/>
          <w:sz w:val="18"/>
          <w:szCs w:val="18"/>
          <w:lang w:val="en-US"/>
        </w:rPr>
        <w:t>]</w:t>
      </w:r>
    </w:p>
    <w:p w:rsidR="008D5F86" w:rsidRPr="00CD60C5" w:rsidRDefault="008D5F86" w:rsidP="00C36F1C">
      <w:pPr>
        <w:spacing w:line="360" w:lineRule="auto"/>
        <w:ind w:left="426" w:right="-180"/>
        <w:rPr>
          <w:rFonts w:ascii="Arial" w:hAnsi="Arial" w:cs="Arial"/>
          <w:bCs/>
          <w:i/>
          <w:sz w:val="18"/>
          <w:szCs w:val="22"/>
          <w:lang w:val="en-US"/>
        </w:rPr>
      </w:pPr>
    </w:p>
    <w:sectPr w:rsidR="008D5F86" w:rsidRPr="00CD60C5" w:rsidSect="00214C77">
      <w:headerReference w:type="default" r:id="rId7"/>
      <w:footerReference w:type="default" r:id="rId8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5F9" w:rsidRDefault="001C45F9" w:rsidP="00D860A5">
      <w:pPr>
        <w:pStyle w:val="texto"/>
      </w:pPr>
      <w:r>
        <w:separator/>
      </w:r>
    </w:p>
  </w:endnote>
  <w:endnote w:type="continuationSeparator" w:id="0">
    <w:p w:rsidR="001C45F9" w:rsidRDefault="001C45F9" w:rsidP="00D860A5">
      <w:pPr>
        <w:pStyle w:val="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E91" w:rsidRPr="001C1F10" w:rsidRDefault="00442E91" w:rsidP="00214C77">
    <w:pPr>
      <w:tabs>
        <w:tab w:val="center" w:pos="4153"/>
        <w:tab w:val="right" w:pos="1049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1.05pt" to="523.5pt,-1.05pt"/>
      </w:pict>
    </w:r>
    <w:r w:rsidR="001C1F10" w:rsidRPr="001C1F10">
      <w:rPr>
        <w:rFonts w:ascii="Arial" w:hAnsi="Arial" w:cs="Arial"/>
        <w:noProof/>
        <w:sz w:val="14"/>
        <w:szCs w:val="14"/>
        <w:lang w:val="en-US"/>
      </w:rPr>
      <w:t>OMIClear, C.C., S.A.</w:t>
    </w:r>
  </w:p>
  <w:p w:rsidR="00442E91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401D79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5F9" w:rsidRDefault="001C45F9" w:rsidP="00D860A5">
      <w:pPr>
        <w:pStyle w:val="texto"/>
      </w:pPr>
      <w:r>
        <w:separator/>
      </w:r>
    </w:p>
  </w:footnote>
  <w:footnote w:type="continuationSeparator" w:id="0">
    <w:p w:rsidR="001C45F9" w:rsidRDefault="001C45F9" w:rsidP="00D860A5">
      <w:pPr>
        <w:pStyle w:val="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E91" w:rsidRDefault="006B186D" w:rsidP="00A45DA6">
    <w:pPr>
      <w:pStyle w:val="Cabealho"/>
      <w:ind w:right="-24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7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449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B448F"/>
    <w:multiLevelType w:val="hybridMultilevel"/>
    <w:tmpl w:val="BCE65C9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E26DE"/>
    <w:multiLevelType w:val="hybridMultilevel"/>
    <w:tmpl w:val="3D926938"/>
    <w:lvl w:ilvl="0" w:tplc="FD705A3C">
      <w:start w:val="1"/>
      <w:numFmt w:val="decimal"/>
      <w:lvlText w:val="(%1)"/>
      <w:lvlJc w:val="left"/>
      <w:pPr>
        <w:ind w:left="194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1" w:hanging="360"/>
      </w:pPr>
    </w:lvl>
    <w:lvl w:ilvl="2" w:tplc="0816001B" w:tentative="1">
      <w:start w:val="1"/>
      <w:numFmt w:val="lowerRoman"/>
      <w:lvlText w:val="%3."/>
      <w:lvlJc w:val="right"/>
      <w:pPr>
        <w:ind w:left="3381" w:hanging="180"/>
      </w:pPr>
    </w:lvl>
    <w:lvl w:ilvl="3" w:tplc="0816000F" w:tentative="1">
      <w:start w:val="1"/>
      <w:numFmt w:val="decimal"/>
      <w:lvlText w:val="%4."/>
      <w:lvlJc w:val="left"/>
      <w:pPr>
        <w:ind w:left="4101" w:hanging="360"/>
      </w:pPr>
    </w:lvl>
    <w:lvl w:ilvl="4" w:tplc="08160019" w:tentative="1">
      <w:start w:val="1"/>
      <w:numFmt w:val="lowerLetter"/>
      <w:lvlText w:val="%5."/>
      <w:lvlJc w:val="left"/>
      <w:pPr>
        <w:ind w:left="4821" w:hanging="360"/>
      </w:pPr>
    </w:lvl>
    <w:lvl w:ilvl="5" w:tplc="0816001B" w:tentative="1">
      <w:start w:val="1"/>
      <w:numFmt w:val="lowerRoman"/>
      <w:lvlText w:val="%6."/>
      <w:lvlJc w:val="right"/>
      <w:pPr>
        <w:ind w:left="5541" w:hanging="180"/>
      </w:pPr>
    </w:lvl>
    <w:lvl w:ilvl="6" w:tplc="0816000F" w:tentative="1">
      <w:start w:val="1"/>
      <w:numFmt w:val="decimal"/>
      <w:lvlText w:val="%7."/>
      <w:lvlJc w:val="left"/>
      <w:pPr>
        <w:ind w:left="6261" w:hanging="360"/>
      </w:pPr>
    </w:lvl>
    <w:lvl w:ilvl="7" w:tplc="08160019" w:tentative="1">
      <w:start w:val="1"/>
      <w:numFmt w:val="lowerLetter"/>
      <w:lvlText w:val="%8."/>
      <w:lvlJc w:val="left"/>
      <w:pPr>
        <w:ind w:left="6981" w:hanging="360"/>
      </w:pPr>
    </w:lvl>
    <w:lvl w:ilvl="8" w:tplc="0816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139742E2"/>
    <w:multiLevelType w:val="multilevel"/>
    <w:tmpl w:val="1A04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sz w:val="18"/>
      </w:rPr>
    </w:lvl>
  </w:abstractNum>
  <w:abstractNum w:abstractNumId="5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87E53D5"/>
    <w:multiLevelType w:val="hybridMultilevel"/>
    <w:tmpl w:val="CD967C88"/>
    <w:lvl w:ilvl="0" w:tplc="827A0AA2">
      <w:start w:val="3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B856700"/>
    <w:multiLevelType w:val="hybridMultilevel"/>
    <w:tmpl w:val="8DF0BFAC"/>
    <w:lvl w:ilvl="0" w:tplc="2AA8C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B105D3"/>
    <w:multiLevelType w:val="hybridMultilevel"/>
    <w:tmpl w:val="0826E568"/>
    <w:lvl w:ilvl="0" w:tplc="C624E3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543B6"/>
    <w:multiLevelType w:val="hybridMultilevel"/>
    <w:tmpl w:val="E0BE72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44F"/>
    <w:multiLevelType w:val="hybridMultilevel"/>
    <w:tmpl w:val="322AE08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2D4"/>
    <w:multiLevelType w:val="hybridMultilevel"/>
    <w:tmpl w:val="E2E2AC8A"/>
    <w:lvl w:ilvl="0" w:tplc="7AC44E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3D10741"/>
    <w:multiLevelType w:val="hybridMultilevel"/>
    <w:tmpl w:val="0C20A23C"/>
    <w:lvl w:ilvl="0" w:tplc="F0521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05ED3"/>
    <w:multiLevelType w:val="hybridMultilevel"/>
    <w:tmpl w:val="5792E5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F5716"/>
    <w:multiLevelType w:val="hybridMultilevel"/>
    <w:tmpl w:val="4CBAFCD0"/>
    <w:lvl w:ilvl="0" w:tplc="96048F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D3"/>
    <w:rsid w:val="00043EC1"/>
    <w:rsid w:val="00072304"/>
    <w:rsid w:val="000A331C"/>
    <w:rsid w:val="000D2321"/>
    <w:rsid w:val="000D2EE1"/>
    <w:rsid w:val="000E3326"/>
    <w:rsid w:val="000F329A"/>
    <w:rsid w:val="000F7D10"/>
    <w:rsid w:val="0011668F"/>
    <w:rsid w:val="00140531"/>
    <w:rsid w:val="00144193"/>
    <w:rsid w:val="00145D94"/>
    <w:rsid w:val="00152154"/>
    <w:rsid w:val="00156445"/>
    <w:rsid w:val="00170F41"/>
    <w:rsid w:val="00172119"/>
    <w:rsid w:val="001855A9"/>
    <w:rsid w:val="001A1241"/>
    <w:rsid w:val="001B5BF9"/>
    <w:rsid w:val="001C1B08"/>
    <w:rsid w:val="001C1F10"/>
    <w:rsid w:val="001C45F9"/>
    <w:rsid w:val="001E0E25"/>
    <w:rsid w:val="002001F5"/>
    <w:rsid w:val="00202929"/>
    <w:rsid w:val="00214C77"/>
    <w:rsid w:val="00235599"/>
    <w:rsid w:val="00243EFD"/>
    <w:rsid w:val="00246386"/>
    <w:rsid w:val="00272D87"/>
    <w:rsid w:val="00274902"/>
    <w:rsid w:val="0028113C"/>
    <w:rsid w:val="002A5A1D"/>
    <w:rsid w:val="002C3C80"/>
    <w:rsid w:val="002C71DD"/>
    <w:rsid w:val="002E4679"/>
    <w:rsid w:val="003262EF"/>
    <w:rsid w:val="00331C9C"/>
    <w:rsid w:val="0033368C"/>
    <w:rsid w:val="00337CFB"/>
    <w:rsid w:val="0034490D"/>
    <w:rsid w:val="00346DAA"/>
    <w:rsid w:val="003B3C26"/>
    <w:rsid w:val="003C0E7C"/>
    <w:rsid w:val="003C7D25"/>
    <w:rsid w:val="003D0FD7"/>
    <w:rsid w:val="003D6D66"/>
    <w:rsid w:val="003F3DD6"/>
    <w:rsid w:val="003F75AD"/>
    <w:rsid w:val="004003F7"/>
    <w:rsid w:val="00401D79"/>
    <w:rsid w:val="004122E0"/>
    <w:rsid w:val="00432D6B"/>
    <w:rsid w:val="00442E91"/>
    <w:rsid w:val="004608EB"/>
    <w:rsid w:val="004779E3"/>
    <w:rsid w:val="004872A9"/>
    <w:rsid w:val="00490367"/>
    <w:rsid w:val="004C18BD"/>
    <w:rsid w:val="004D45A0"/>
    <w:rsid w:val="004D4632"/>
    <w:rsid w:val="004D61E4"/>
    <w:rsid w:val="004E2105"/>
    <w:rsid w:val="0051382E"/>
    <w:rsid w:val="00536D3D"/>
    <w:rsid w:val="005601B9"/>
    <w:rsid w:val="00562C52"/>
    <w:rsid w:val="00563B38"/>
    <w:rsid w:val="00572241"/>
    <w:rsid w:val="00584AF4"/>
    <w:rsid w:val="00590E4E"/>
    <w:rsid w:val="005A06E5"/>
    <w:rsid w:val="005A2344"/>
    <w:rsid w:val="005A7BBA"/>
    <w:rsid w:val="005B37E0"/>
    <w:rsid w:val="005C4FF7"/>
    <w:rsid w:val="005C570E"/>
    <w:rsid w:val="005D6B98"/>
    <w:rsid w:val="00622BE7"/>
    <w:rsid w:val="0062455D"/>
    <w:rsid w:val="006318EE"/>
    <w:rsid w:val="006523E1"/>
    <w:rsid w:val="00687839"/>
    <w:rsid w:val="006926CB"/>
    <w:rsid w:val="006952C0"/>
    <w:rsid w:val="006B186D"/>
    <w:rsid w:val="006D297D"/>
    <w:rsid w:val="006D51B9"/>
    <w:rsid w:val="0070314A"/>
    <w:rsid w:val="0072179C"/>
    <w:rsid w:val="0074004D"/>
    <w:rsid w:val="00743E8A"/>
    <w:rsid w:val="00776E77"/>
    <w:rsid w:val="007B0D30"/>
    <w:rsid w:val="007C11F6"/>
    <w:rsid w:val="007F7D8D"/>
    <w:rsid w:val="00820492"/>
    <w:rsid w:val="008208AC"/>
    <w:rsid w:val="0082554B"/>
    <w:rsid w:val="008577AF"/>
    <w:rsid w:val="00861D8B"/>
    <w:rsid w:val="00886125"/>
    <w:rsid w:val="0089152E"/>
    <w:rsid w:val="0089161F"/>
    <w:rsid w:val="00893872"/>
    <w:rsid w:val="008C3D3E"/>
    <w:rsid w:val="008D11D5"/>
    <w:rsid w:val="008D5F86"/>
    <w:rsid w:val="008E109D"/>
    <w:rsid w:val="008E4D0E"/>
    <w:rsid w:val="008E6BEE"/>
    <w:rsid w:val="0090597B"/>
    <w:rsid w:val="0093298B"/>
    <w:rsid w:val="009707EC"/>
    <w:rsid w:val="009852E2"/>
    <w:rsid w:val="009973F3"/>
    <w:rsid w:val="009A0594"/>
    <w:rsid w:val="009A1655"/>
    <w:rsid w:val="009B0B0A"/>
    <w:rsid w:val="009B79C3"/>
    <w:rsid w:val="009C1133"/>
    <w:rsid w:val="009C341D"/>
    <w:rsid w:val="009C5C05"/>
    <w:rsid w:val="009D04D3"/>
    <w:rsid w:val="009D0EDD"/>
    <w:rsid w:val="009E201C"/>
    <w:rsid w:val="009F0E07"/>
    <w:rsid w:val="00A10884"/>
    <w:rsid w:val="00A33E2F"/>
    <w:rsid w:val="00A45DA6"/>
    <w:rsid w:val="00A56DEB"/>
    <w:rsid w:val="00A85C45"/>
    <w:rsid w:val="00AC383C"/>
    <w:rsid w:val="00AC6972"/>
    <w:rsid w:val="00AD4751"/>
    <w:rsid w:val="00AE7BB6"/>
    <w:rsid w:val="00B007CE"/>
    <w:rsid w:val="00B2744A"/>
    <w:rsid w:val="00B64806"/>
    <w:rsid w:val="00BC43D3"/>
    <w:rsid w:val="00BC558D"/>
    <w:rsid w:val="00BC6296"/>
    <w:rsid w:val="00BD3EC6"/>
    <w:rsid w:val="00C108BE"/>
    <w:rsid w:val="00C16823"/>
    <w:rsid w:val="00C32B5D"/>
    <w:rsid w:val="00C335F5"/>
    <w:rsid w:val="00C36F1C"/>
    <w:rsid w:val="00C40A45"/>
    <w:rsid w:val="00CB1018"/>
    <w:rsid w:val="00CD2602"/>
    <w:rsid w:val="00CD55B7"/>
    <w:rsid w:val="00CD60C5"/>
    <w:rsid w:val="00CE5491"/>
    <w:rsid w:val="00D11759"/>
    <w:rsid w:val="00D646E1"/>
    <w:rsid w:val="00D860A5"/>
    <w:rsid w:val="00D921D5"/>
    <w:rsid w:val="00DB6EC6"/>
    <w:rsid w:val="00DC79E0"/>
    <w:rsid w:val="00DE1AF9"/>
    <w:rsid w:val="00E055F7"/>
    <w:rsid w:val="00E42D91"/>
    <w:rsid w:val="00E96406"/>
    <w:rsid w:val="00E976E9"/>
    <w:rsid w:val="00EA02DE"/>
    <w:rsid w:val="00EC6AAB"/>
    <w:rsid w:val="00F1239F"/>
    <w:rsid w:val="00F23AC7"/>
    <w:rsid w:val="00F37A14"/>
    <w:rsid w:val="00F52439"/>
    <w:rsid w:val="00F62E2C"/>
    <w:rsid w:val="00F6326C"/>
    <w:rsid w:val="00F63CDD"/>
    <w:rsid w:val="00FB12B5"/>
    <w:rsid w:val="00FB1EE4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D82B15-BB4B-4A67-BCCC-DAFED226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D3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9D04D3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9D04D3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9D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262E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3262EF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3262EF"/>
  </w:style>
  <w:style w:type="paragraph" w:styleId="Corpodetexto2">
    <w:name w:val="Body Text 2"/>
    <w:basedOn w:val="Normal"/>
    <w:link w:val="Corpodetexto2Carcter"/>
    <w:rsid w:val="003262EF"/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A85C45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0F7D10"/>
    <w:rPr>
      <w:rFonts w:ascii="Arial" w:hAnsi="Arial" w:cs="Arial"/>
      <w:sz w:val="22"/>
      <w:szCs w:val="24"/>
      <w:lang w:eastAsia="en-US"/>
    </w:rPr>
  </w:style>
  <w:style w:type="paragraph" w:styleId="ndice1">
    <w:name w:val="toc 1"/>
    <w:basedOn w:val="Normal"/>
    <w:next w:val="Normal"/>
    <w:autoRedefine/>
    <w:rsid w:val="008D5F86"/>
    <w:pPr>
      <w:tabs>
        <w:tab w:val="left" w:pos="480"/>
        <w:tab w:val="right" w:leader="dot" w:pos="8302"/>
      </w:tabs>
      <w:spacing w:before="120"/>
      <w:ind w:left="1418"/>
      <w:jc w:val="center"/>
    </w:pPr>
    <w:rPr>
      <w:rFonts w:ascii="Arial" w:hAnsi="Arial"/>
      <w:b/>
      <w:bCs/>
      <w:noProof/>
      <w:color w:val="7F7F7F"/>
      <w:sz w:val="22"/>
      <w:szCs w:val="26"/>
    </w:rPr>
  </w:style>
  <w:style w:type="character" w:styleId="nfase">
    <w:name w:val="Emphasis"/>
    <w:qFormat/>
    <w:rsid w:val="008C3D3E"/>
    <w:rPr>
      <w:i/>
      <w:iCs/>
    </w:rPr>
  </w:style>
  <w:style w:type="character" w:styleId="Refdecomentrio">
    <w:name w:val="annotation reference"/>
    <w:rsid w:val="00490367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490367"/>
    <w:rPr>
      <w:sz w:val="20"/>
      <w:szCs w:val="20"/>
    </w:rPr>
  </w:style>
  <w:style w:type="character" w:customStyle="1" w:styleId="TextodecomentrioCarcter">
    <w:name w:val="Texto de comentário Carácter"/>
    <w:link w:val="Textodecomentrio"/>
    <w:rsid w:val="0049036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490367"/>
    <w:rPr>
      <w:b/>
      <w:bCs/>
    </w:rPr>
  </w:style>
  <w:style w:type="character" w:customStyle="1" w:styleId="AssuntodecomentrioCarcter">
    <w:name w:val="Assunto de comentário Carácter"/>
    <w:link w:val="Assuntodecomentrio"/>
    <w:rsid w:val="0049036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1917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COMPENSAÇÃO</vt:lpstr>
      <vt:lpstr>Modelo 1 - REGISTO DE CONTAS DE COMPENSAÇÃO </vt:lpstr>
    </vt:vector>
  </TitlesOfParts>
  <Company>REN, SA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COMPENSAÇÃO</dc:title>
  <dc:subject/>
  <dc:creator>aclaro</dc:creator>
  <cp:keywords/>
  <cp:lastModifiedBy>Tomás Gaivão</cp:lastModifiedBy>
  <cp:revision>8</cp:revision>
  <cp:lastPrinted>2006-05-10T11:19:00Z</cp:lastPrinted>
  <dcterms:created xsi:type="dcterms:W3CDTF">2017-05-04T16:55:00Z</dcterms:created>
  <dcterms:modified xsi:type="dcterms:W3CDTF">2018-05-14T11:51:00Z</dcterms:modified>
</cp:coreProperties>
</file>