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pPr w:leftFromText="141" w:rightFromText="141" w:vertAnchor="text" w:horzAnchor="page" w:tblpX="4899" w:tblpY="10618"/>
        <w:tblW w:w="0" w:type="auto"/>
        <w:tblLook w:val="04A0" w:firstRow="1" w:lastRow="0" w:firstColumn="1" w:lastColumn="0" w:noHBand="0" w:noVBand="1"/>
      </w:tblPr>
      <w:tblGrid>
        <w:gridCol w:w="5171"/>
      </w:tblGrid>
      <w:tr w:rsidR="004B3BBC" w:rsidRPr="00AE61B1" w14:paraId="762B772F" w14:textId="77777777" w:rsidTr="000414C1">
        <w:trPr>
          <w:trHeight w:val="467"/>
        </w:trPr>
        <w:tc>
          <w:tcPr>
            <w:tcW w:w="5171" w:type="dxa"/>
            <w:tcBorders>
              <w:top w:val="nil"/>
              <w:left w:val="single" w:sz="48" w:space="0" w:color="7F7F7F" w:themeColor="text1" w:themeTint="80"/>
              <w:bottom w:val="nil"/>
              <w:right w:val="nil"/>
            </w:tcBorders>
          </w:tcPr>
          <w:p w14:paraId="73ED6AEA" w14:textId="77777777" w:rsidR="004B3BBC" w:rsidRPr="00AE61B1" w:rsidRDefault="006848F4" w:rsidP="000414C1">
            <w:pPr>
              <w:ind w:left="426"/>
              <w:rPr>
                <w:rFonts w:ascii="Arial" w:hAnsi="Arial" w:cs="Arial"/>
                <w:b/>
              </w:rPr>
            </w:pPr>
            <w:r>
              <w:rPr>
                <w:rFonts w:ascii="Arial" w:hAnsi="Arial" w:cs="Arial"/>
                <w:b/>
                <w:color w:val="92D050"/>
                <w:sz w:val="40"/>
              </w:rPr>
              <w:t>CLÁUSULAS CONTRACTUALES GENERALES</w:t>
            </w:r>
          </w:p>
        </w:tc>
      </w:tr>
      <w:tr w:rsidR="004B3BBC" w:rsidRPr="00AE61B1" w14:paraId="12282D1D" w14:textId="77777777" w:rsidTr="000414C1">
        <w:trPr>
          <w:trHeight w:val="410"/>
        </w:trPr>
        <w:tc>
          <w:tcPr>
            <w:tcW w:w="5171" w:type="dxa"/>
            <w:tcBorders>
              <w:top w:val="nil"/>
              <w:left w:val="nil"/>
              <w:bottom w:val="nil"/>
              <w:right w:val="nil"/>
            </w:tcBorders>
          </w:tcPr>
          <w:p w14:paraId="7C8840BA" w14:textId="77777777" w:rsidR="004B3BBC" w:rsidRPr="00AE61B1" w:rsidRDefault="004B3BBC" w:rsidP="000414C1">
            <w:pPr>
              <w:ind w:left="426"/>
            </w:pPr>
          </w:p>
        </w:tc>
      </w:tr>
      <w:tr w:rsidR="004B3BBC" w:rsidRPr="00DE49D4" w14:paraId="22C0F94F" w14:textId="77777777" w:rsidTr="000414C1">
        <w:trPr>
          <w:trHeight w:val="3571"/>
        </w:trPr>
        <w:tc>
          <w:tcPr>
            <w:tcW w:w="5171" w:type="dxa"/>
            <w:tcBorders>
              <w:top w:val="nil"/>
              <w:left w:val="single" w:sz="48" w:space="0" w:color="92D050"/>
              <w:bottom w:val="nil"/>
              <w:right w:val="nil"/>
            </w:tcBorders>
          </w:tcPr>
          <w:p w14:paraId="2A5769A8" w14:textId="77777777" w:rsidR="004B3BBC" w:rsidRPr="00C07B89" w:rsidRDefault="006848F4" w:rsidP="000414C1">
            <w:pPr>
              <w:ind w:left="426"/>
              <w:rPr>
                <w:rFonts w:ascii="Arial" w:hAnsi="Arial" w:cs="Arial"/>
                <w:b/>
                <w:color w:val="7F7F7F" w:themeColor="text1" w:themeTint="80"/>
                <w:sz w:val="28"/>
                <w:lang w:val="es-ES"/>
              </w:rPr>
            </w:pPr>
            <w:r w:rsidRPr="00C07B89">
              <w:rPr>
                <w:rFonts w:ascii="Arial" w:hAnsi="Arial" w:cs="Arial"/>
                <w:b/>
                <w:color w:val="7F7F7F" w:themeColor="text1" w:themeTint="80"/>
                <w:sz w:val="28"/>
                <w:lang w:val="es-ES"/>
              </w:rPr>
              <w:t xml:space="preserve">Contratos </w:t>
            </w:r>
            <w:r w:rsidR="00E56786" w:rsidRPr="00C07B89">
              <w:rPr>
                <w:rFonts w:ascii="Arial" w:hAnsi="Arial" w:cs="Arial"/>
                <w:b/>
                <w:color w:val="7F7F7F" w:themeColor="text1" w:themeTint="80"/>
                <w:sz w:val="28"/>
                <w:lang w:val="es-ES"/>
              </w:rPr>
              <w:t>de Futuros MIBEL PTEL Base Financ</w:t>
            </w:r>
            <w:r w:rsidR="004A0121" w:rsidRPr="00C07B89">
              <w:rPr>
                <w:rFonts w:ascii="Arial" w:hAnsi="Arial" w:cs="Arial"/>
                <w:b/>
                <w:color w:val="7F7F7F" w:themeColor="text1" w:themeTint="80"/>
                <w:sz w:val="28"/>
                <w:lang w:val="es-ES"/>
              </w:rPr>
              <w:t>i</w:t>
            </w:r>
            <w:r w:rsidR="00E56786" w:rsidRPr="00C07B89">
              <w:rPr>
                <w:rFonts w:ascii="Arial" w:hAnsi="Arial" w:cs="Arial"/>
                <w:b/>
                <w:color w:val="7F7F7F" w:themeColor="text1" w:themeTint="80"/>
                <w:sz w:val="28"/>
                <w:lang w:val="es-ES"/>
              </w:rPr>
              <w:t>eros</w:t>
            </w:r>
          </w:p>
          <w:p w14:paraId="767D2DBE" w14:textId="68B2B0DD" w:rsidR="00730F35" w:rsidRPr="00121BB7" w:rsidRDefault="006A7F9A" w:rsidP="00730F35">
            <w:pPr>
              <w:spacing w:before="360"/>
              <w:ind w:left="426"/>
              <w:rPr>
                <w:rFonts w:ascii="Arial" w:hAnsi="Arial" w:cs="Arial"/>
                <w:color w:val="A6A6A6" w:themeColor="background1" w:themeShade="A6"/>
                <w:sz w:val="28"/>
                <w:lang w:val="es-ES"/>
              </w:rPr>
            </w:pPr>
            <w:r>
              <w:rPr>
                <w:rFonts w:ascii="Arial" w:hAnsi="Arial" w:cs="Arial"/>
                <w:color w:val="A6A6A6" w:themeColor="background1" w:themeShade="A6"/>
                <w:sz w:val="28"/>
                <w:lang w:val="es-ES"/>
              </w:rPr>
              <w:t>19</w:t>
            </w:r>
            <w:r w:rsidR="00660452">
              <w:rPr>
                <w:rFonts w:ascii="Arial" w:hAnsi="Arial" w:cs="Arial"/>
                <w:color w:val="A6A6A6" w:themeColor="background1" w:themeShade="A6"/>
                <w:sz w:val="28"/>
                <w:lang w:val="es-ES"/>
              </w:rPr>
              <w:t>.</w:t>
            </w:r>
            <w:r>
              <w:rPr>
                <w:rFonts w:ascii="Arial" w:hAnsi="Arial" w:cs="Arial"/>
                <w:color w:val="A6A6A6" w:themeColor="background1" w:themeShade="A6"/>
                <w:sz w:val="28"/>
                <w:lang w:val="es-ES"/>
              </w:rPr>
              <w:t>abril</w:t>
            </w:r>
            <w:r w:rsidR="00660452">
              <w:rPr>
                <w:rFonts w:ascii="Arial" w:hAnsi="Arial" w:cs="Arial"/>
                <w:color w:val="A6A6A6" w:themeColor="background1" w:themeShade="A6"/>
                <w:sz w:val="28"/>
                <w:lang w:val="es-ES"/>
              </w:rPr>
              <w:t>.</w:t>
            </w:r>
            <w:r w:rsidR="006A2C8F">
              <w:rPr>
                <w:rFonts w:ascii="Arial" w:hAnsi="Arial" w:cs="Arial"/>
                <w:color w:val="A6A6A6" w:themeColor="background1" w:themeShade="A6"/>
                <w:sz w:val="28"/>
                <w:lang w:val="es-ES"/>
              </w:rPr>
              <w:t>2021</w:t>
            </w:r>
          </w:p>
          <w:p w14:paraId="3B50B873" w14:textId="77777777" w:rsidR="006A770B" w:rsidRPr="00C07B89" w:rsidRDefault="006A770B" w:rsidP="000616DB">
            <w:pPr>
              <w:ind w:left="426"/>
              <w:rPr>
                <w:rFonts w:ascii="Arial" w:hAnsi="Arial" w:cs="Arial"/>
                <w:b/>
                <w:lang w:val="es-ES"/>
              </w:rPr>
            </w:pPr>
          </w:p>
        </w:tc>
      </w:tr>
    </w:tbl>
    <w:p w14:paraId="602903E5" w14:textId="77777777" w:rsidR="0004084C" w:rsidRPr="00C07B89" w:rsidRDefault="00DC5523">
      <w:pPr>
        <w:rPr>
          <w:lang w:val="es-ES"/>
        </w:rPr>
      </w:pPr>
      <w:r w:rsidRPr="00AE61B1">
        <w:rPr>
          <w:noProof/>
          <w:lang w:val="pt-PT" w:eastAsia="pt-PT"/>
        </w:rPr>
        <mc:AlternateContent>
          <mc:Choice Requires="wps">
            <w:drawing>
              <wp:anchor distT="0" distB="0" distL="114300" distR="114300" simplePos="0" relativeHeight="251655680" behindDoc="0" locked="0" layoutInCell="1" allowOverlap="1" wp14:anchorId="0E5F876B" wp14:editId="01DAD104">
                <wp:simplePos x="0" y="0"/>
                <wp:positionH relativeFrom="column">
                  <wp:posOffset>-212238</wp:posOffset>
                </wp:positionH>
                <wp:positionV relativeFrom="paragraph">
                  <wp:posOffset>-801843</wp:posOffset>
                </wp:positionV>
                <wp:extent cx="1031223" cy="11345029"/>
                <wp:effectExtent l="0" t="0" r="0" b="8890"/>
                <wp:wrapNone/>
                <wp:docPr id="1" name="Rectângulo 1"/>
                <wp:cNvGraphicFramePr/>
                <a:graphic xmlns:a="http://schemas.openxmlformats.org/drawingml/2006/main">
                  <a:graphicData uri="http://schemas.microsoft.com/office/word/2010/wordprocessingShape">
                    <wps:wsp>
                      <wps:cNvSpPr/>
                      <wps:spPr>
                        <a:xfrm>
                          <a:off x="0" y="0"/>
                          <a:ext cx="1031223" cy="1134502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2E2A6" id="Rectângulo 1" o:spid="_x0000_s1026" style="position:absolute;margin-left:-16.7pt;margin-top:-63.15pt;width:81.2pt;height:893.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" fillcolor="#92d050" stroked="f" strokeweight="2pt"/>
            </w:pict>
          </mc:Fallback>
        </mc:AlternateContent>
      </w:r>
    </w:p>
    <w:p w14:paraId="20874AE0" w14:textId="77777777" w:rsidR="00AA3C2A" w:rsidRPr="00C07B89" w:rsidRDefault="00B74469">
      <w:pPr>
        <w:rPr>
          <w:lang w:val="es-ES"/>
        </w:rPr>
        <w:sectPr w:rsidR="00AA3C2A" w:rsidRPr="00C07B89" w:rsidSect="00DC5523">
          <w:headerReference w:type="default" r:id="rId8"/>
          <w:pgSz w:w="11906" w:h="16838" w:code="9"/>
          <w:pgMar w:top="284" w:right="284" w:bottom="284" w:left="284" w:header="0" w:footer="0" w:gutter="0"/>
          <w:cols w:space="708"/>
          <w:docGrid w:linePitch="360"/>
        </w:sectPr>
      </w:pPr>
      <w:r w:rsidRPr="00AE111F">
        <w:rPr>
          <w:rFonts w:ascii="Arial" w:hAnsi="Arial" w:cs="Arial"/>
          <w:noProof/>
          <w:sz w:val="20"/>
          <w:szCs w:val="20"/>
          <w:lang w:val="pt-PT" w:eastAsia="pt-PT"/>
        </w:rPr>
        <w:drawing>
          <wp:anchor distT="0" distB="0" distL="114300" distR="114300" simplePos="0" relativeHeight="251657728" behindDoc="1" locked="0" layoutInCell="1" allowOverlap="1" wp14:anchorId="42914252" wp14:editId="59AA22A6">
            <wp:simplePos x="0" y="0"/>
            <wp:positionH relativeFrom="page">
              <wp:posOffset>1242060</wp:posOffset>
            </wp:positionH>
            <wp:positionV relativeFrom="page">
              <wp:posOffset>1538225</wp:posOffset>
            </wp:positionV>
            <wp:extent cx="2088000" cy="802800"/>
            <wp:effectExtent l="0" t="0" r="7620" b="0"/>
            <wp:wrapNone/>
            <wp:docPr id="3" name="Imagem 3" descr="D:\01_OMIP_27 Set 2011\OMI_2012\Imagem\OMIP\0_Finais\Logos e Cores\OMIP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OMIP_27 Set 2011\OMI_2012\Imagem\OMIP\0_Finais\Logos e Cores\OMIP RGB.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4" t="11624" r="9464" b="8364"/>
                    <a:stretch/>
                  </pic:blipFill>
                  <pic:spPr bwMode="auto">
                    <a:xfrm>
                      <a:off x="0" y="0"/>
                      <a:ext cx="2088000" cy="80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523" w:rsidRPr="00AE61B1">
        <w:rPr>
          <w:noProof/>
          <w:lang w:val="pt-PT" w:eastAsia="pt-PT"/>
        </w:rPr>
        <mc:AlternateContent>
          <mc:Choice Requires="wps">
            <w:drawing>
              <wp:anchor distT="0" distB="0" distL="114300" distR="114300" simplePos="0" relativeHeight="251656704" behindDoc="0" locked="0" layoutInCell="1" allowOverlap="1" wp14:anchorId="6F00297F" wp14:editId="7444DC41">
                <wp:simplePos x="0" y="0"/>
                <wp:positionH relativeFrom="column">
                  <wp:posOffset>457602</wp:posOffset>
                </wp:positionH>
                <wp:positionV relativeFrom="paragraph">
                  <wp:posOffset>1235371</wp:posOffset>
                </wp:positionV>
                <wp:extent cx="359404" cy="71755"/>
                <wp:effectExtent l="0" t="0" r="3175" b="4445"/>
                <wp:wrapNone/>
                <wp:docPr id="4" name="Rectângulo 4"/>
                <wp:cNvGraphicFramePr/>
                <a:graphic xmlns:a="http://schemas.openxmlformats.org/drawingml/2006/main">
                  <a:graphicData uri="http://schemas.microsoft.com/office/word/2010/wordprocessingShape">
                    <wps:wsp>
                      <wps:cNvSpPr/>
                      <wps:spPr>
                        <a:xfrm>
                          <a:off x="0" y="0"/>
                          <a:ext cx="359404" cy="717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E012F" id="Rectângulo 4" o:spid="_x0000_s1026" style="position:absolute;margin-left:36.05pt;margin-top:97.25pt;width:28.3pt;height:5.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" fillcolor="white [3212]" stroked="f" strokeweight="2pt"/>
            </w:pict>
          </mc:Fallback>
        </mc:AlternateContent>
      </w:r>
      <w:r w:rsidR="0004084C" w:rsidRPr="00C07B89">
        <w:rPr>
          <w:lang w:val="es-ES"/>
        </w:rPr>
        <w:br w:type="page"/>
      </w:r>
    </w:p>
    <w:p w14:paraId="01502F52" w14:textId="77777777" w:rsidR="00AA3C2A" w:rsidRPr="00A433CC" w:rsidRDefault="00A433CC" w:rsidP="00DA0AEF">
      <w:pPr>
        <w:tabs>
          <w:tab w:val="left" w:pos="0"/>
        </w:tabs>
        <w:jc w:val="both"/>
        <w:rPr>
          <w:rFonts w:ascii="Arial" w:hAnsi="Arial" w:cs="Arial"/>
          <w:b/>
          <w:szCs w:val="24"/>
          <w:lang w:val="es-ES_tradnl"/>
        </w:rPr>
      </w:pPr>
      <w:r w:rsidRPr="00A433CC">
        <w:rPr>
          <w:rFonts w:ascii="Arial" w:hAnsi="Arial" w:cs="Arial"/>
          <w:b/>
          <w:szCs w:val="24"/>
          <w:lang w:val="es-ES_tradnl"/>
        </w:rPr>
        <w:lastRenderedPageBreak/>
        <w:t>Í</w:t>
      </w:r>
      <w:r>
        <w:rPr>
          <w:rFonts w:ascii="Arial" w:hAnsi="Arial" w:cs="Arial"/>
          <w:b/>
          <w:szCs w:val="24"/>
          <w:lang w:val="es-ES_tradnl"/>
        </w:rPr>
        <w:t>ndice de Versiones</w:t>
      </w:r>
    </w:p>
    <w:p w14:paraId="7C341C40" w14:textId="77777777" w:rsidR="00AA3C2A" w:rsidRPr="009E56C0" w:rsidRDefault="00D42D75" w:rsidP="00DA0AEF">
      <w:pPr>
        <w:spacing w:after="0"/>
        <w:rPr>
          <w:rFonts w:ascii="Arial" w:hAnsi="Arial" w:cs="Arial"/>
          <w:b/>
          <w:sz w:val="18"/>
          <w:szCs w:val="20"/>
          <w:lang w:val="es-ES_tradnl"/>
        </w:rPr>
      </w:pPr>
      <w:r w:rsidRPr="00A433CC">
        <w:rPr>
          <w:rFonts w:ascii="Arial" w:hAnsi="Arial" w:cs="Arial"/>
          <w:b/>
          <w:sz w:val="18"/>
          <w:szCs w:val="20"/>
          <w:lang w:val="es-ES_tradnl"/>
        </w:rPr>
        <w:t>0</w:t>
      </w:r>
      <w:r w:rsidR="009E56C0" w:rsidRPr="00A433CC">
        <w:rPr>
          <w:rFonts w:ascii="Arial" w:hAnsi="Arial" w:cs="Arial"/>
          <w:b/>
          <w:sz w:val="18"/>
          <w:szCs w:val="20"/>
          <w:lang w:val="es-ES_tradnl"/>
        </w:rPr>
        <w:t>1</w:t>
      </w:r>
      <w:r w:rsidR="00AA3C2A" w:rsidRPr="00A433CC">
        <w:rPr>
          <w:rFonts w:ascii="Arial" w:hAnsi="Arial" w:cs="Arial"/>
          <w:b/>
          <w:sz w:val="18"/>
          <w:szCs w:val="20"/>
          <w:lang w:val="es-ES_tradnl"/>
        </w:rPr>
        <w:t>.</w:t>
      </w:r>
      <w:r w:rsidR="009E56C0" w:rsidRPr="00A433CC">
        <w:rPr>
          <w:rFonts w:ascii="Arial" w:hAnsi="Arial" w:cs="Arial"/>
          <w:b/>
          <w:sz w:val="18"/>
          <w:szCs w:val="20"/>
          <w:lang w:val="es-ES_tradnl"/>
        </w:rPr>
        <w:t>julio</w:t>
      </w:r>
      <w:r w:rsidR="00AA3C2A" w:rsidRPr="00A433CC">
        <w:rPr>
          <w:rFonts w:ascii="Arial" w:hAnsi="Arial" w:cs="Arial"/>
          <w:b/>
          <w:sz w:val="18"/>
          <w:szCs w:val="20"/>
          <w:lang w:val="es-ES_tradnl"/>
        </w:rPr>
        <w:t>.20</w:t>
      </w:r>
      <w:r w:rsidRPr="00A433CC">
        <w:rPr>
          <w:rFonts w:ascii="Arial" w:hAnsi="Arial" w:cs="Arial"/>
          <w:b/>
          <w:sz w:val="18"/>
          <w:szCs w:val="20"/>
          <w:lang w:val="es-ES_tradnl"/>
        </w:rPr>
        <w:t>09</w:t>
      </w:r>
    </w:p>
    <w:p w14:paraId="762CBDAE" w14:textId="77777777" w:rsidR="00AA3C2A" w:rsidRPr="009E56C0" w:rsidRDefault="009E56C0" w:rsidP="00DA0AEF">
      <w:pPr>
        <w:spacing w:after="0"/>
        <w:rPr>
          <w:rFonts w:ascii="Arial" w:hAnsi="Arial" w:cs="Arial"/>
          <w:sz w:val="18"/>
          <w:szCs w:val="20"/>
          <w:lang w:val="es-ES_tradnl"/>
        </w:rPr>
      </w:pPr>
      <w:r>
        <w:rPr>
          <w:rFonts w:ascii="Arial" w:hAnsi="Arial" w:cs="Arial"/>
          <w:sz w:val="18"/>
          <w:szCs w:val="20"/>
          <w:lang w:val="es-ES_tradnl"/>
        </w:rPr>
        <w:t>Versión Inicial</w:t>
      </w:r>
    </w:p>
    <w:p w14:paraId="2D75C050" w14:textId="77777777" w:rsidR="00DA0AEF" w:rsidRPr="009E56C0" w:rsidRDefault="00DA0AEF" w:rsidP="00DA0AEF">
      <w:pPr>
        <w:spacing w:after="0"/>
        <w:rPr>
          <w:rFonts w:ascii="Arial" w:hAnsi="Arial" w:cs="Arial"/>
          <w:b/>
          <w:sz w:val="18"/>
          <w:szCs w:val="20"/>
          <w:lang w:val="es-ES_tradnl"/>
        </w:rPr>
      </w:pPr>
    </w:p>
    <w:p w14:paraId="195F7988" w14:textId="77777777" w:rsidR="00AA3C2A" w:rsidRPr="00D42D75" w:rsidRDefault="00D42D75" w:rsidP="00DA0AEF">
      <w:pPr>
        <w:spacing w:after="0"/>
        <w:rPr>
          <w:rFonts w:ascii="Arial" w:hAnsi="Arial" w:cs="Arial"/>
          <w:b/>
          <w:sz w:val="18"/>
          <w:szCs w:val="20"/>
          <w:lang w:val="es-ES_tradnl"/>
        </w:rPr>
      </w:pPr>
      <w:r w:rsidRPr="00D42D75">
        <w:rPr>
          <w:rFonts w:ascii="Arial" w:hAnsi="Arial" w:cs="Arial"/>
          <w:b/>
          <w:sz w:val="18"/>
          <w:szCs w:val="20"/>
          <w:lang w:val="es-ES_tradnl"/>
        </w:rPr>
        <w:t>24</w:t>
      </w:r>
      <w:r w:rsidR="00AA3C2A" w:rsidRPr="00D42D75">
        <w:rPr>
          <w:rFonts w:ascii="Arial" w:hAnsi="Arial" w:cs="Arial"/>
          <w:b/>
          <w:sz w:val="18"/>
          <w:szCs w:val="20"/>
          <w:lang w:val="es-ES_tradnl"/>
        </w:rPr>
        <w:t>.</w:t>
      </w:r>
      <w:r w:rsidRPr="00D42D75">
        <w:rPr>
          <w:rFonts w:ascii="Arial" w:hAnsi="Arial" w:cs="Arial"/>
          <w:b/>
          <w:sz w:val="18"/>
          <w:szCs w:val="20"/>
          <w:lang w:val="es-ES_tradnl"/>
        </w:rPr>
        <w:t>agosto</w:t>
      </w:r>
      <w:r w:rsidR="00AA3C2A" w:rsidRPr="00D42D75">
        <w:rPr>
          <w:rFonts w:ascii="Arial" w:hAnsi="Arial" w:cs="Arial"/>
          <w:b/>
          <w:sz w:val="18"/>
          <w:szCs w:val="20"/>
          <w:lang w:val="es-ES_tradnl"/>
        </w:rPr>
        <w:t>.20</w:t>
      </w:r>
      <w:r w:rsidRPr="00D42D75">
        <w:rPr>
          <w:rFonts w:ascii="Arial" w:hAnsi="Arial" w:cs="Arial"/>
          <w:b/>
          <w:sz w:val="18"/>
          <w:szCs w:val="20"/>
          <w:lang w:val="es-ES_tradnl"/>
        </w:rPr>
        <w:t>12</w:t>
      </w:r>
    </w:p>
    <w:p w14:paraId="7EC62048" w14:textId="77777777" w:rsidR="002E71A3" w:rsidRDefault="002E71A3" w:rsidP="0012517E">
      <w:pPr>
        <w:spacing w:after="0"/>
        <w:jc w:val="both"/>
        <w:rPr>
          <w:rFonts w:ascii="Arial" w:hAnsi="Arial" w:cs="Arial"/>
          <w:sz w:val="18"/>
          <w:szCs w:val="20"/>
          <w:lang w:val="es-ES_tradnl"/>
        </w:rPr>
      </w:pPr>
      <w:r w:rsidRPr="002E71A3">
        <w:rPr>
          <w:rFonts w:ascii="Arial" w:hAnsi="Arial" w:cs="Arial"/>
          <w:sz w:val="18"/>
          <w:szCs w:val="20"/>
          <w:lang w:val="es-ES_tradnl"/>
        </w:rPr>
        <w:t xml:space="preserve">Modificación del Último Día de Negociación (UDN) de los Contratos Mes, Trimestre y Año con impacto en los días de Fracción de las Posiciones en Contratos Trimestre y Año. </w:t>
      </w:r>
    </w:p>
    <w:p w14:paraId="11D16E1C" w14:textId="77777777" w:rsidR="002E71A3" w:rsidRDefault="002E71A3" w:rsidP="0012517E">
      <w:pPr>
        <w:spacing w:after="0"/>
        <w:jc w:val="both"/>
        <w:rPr>
          <w:rFonts w:ascii="Arial" w:hAnsi="Arial" w:cs="Arial"/>
          <w:sz w:val="18"/>
          <w:szCs w:val="20"/>
          <w:lang w:val="es-ES_tradnl"/>
        </w:rPr>
      </w:pPr>
      <w:r w:rsidRPr="002E71A3">
        <w:rPr>
          <w:rFonts w:ascii="Arial" w:hAnsi="Arial" w:cs="Arial"/>
          <w:sz w:val="18"/>
          <w:szCs w:val="20"/>
          <w:lang w:val="es-ES_tradnl"/>
        </w:rPr>
        <w:t xml:space="preserve">Ajuste en las reglas de Fracción de las </w:t>
      </w:r>
      <w:proofErr w:type="gramStart"/>
      <w:r w:rsidRPr="002E71A3">
        <w:rPr>
          <w:rFonts w:ascii="Arial" w:hAnsi="Arial" w:cs="Arial"/>
          <w:sz w:val="18"/>
          <w:szCs w:val="20"/>
          <w:lang w:val="es-ES_tradnl"/>
        </w:rPr>
        <w:t>Posiciones  en</w:t>
      </w:r>
      <w:proofErr w:type="gramEnd"/>
      <w:r w:rsidRPr="002E71A3">
        <w:rPr>
          <w:rFonts w:ascii="Arial" w:hAnsi="Arial" w:cs="Arial"/>
          <w:sz w:val="18"/>
          <w:szCs w:val="20"/>
          <w:lang w:val="es-ES_tradnl"/>
        </w:rPr>
        <w:t xml:space="preserve"> el Contrato Trimestre y en el Contrato Año debido a esa operación pasar a realizarse en el mismo día para ambos los contratos. </w:t>
      </w:r>
    </w:p>
    <w:p w14:paraId="2A79D6B4" w14:textId="77777777" w:rsidR="00DA0AEF" w:rsidRPr="002E71A3" w:rsidRDefault="002E71A3" w:rsidP="0012517E">
      <w:pPr>
        <w:spacing w:after="0"/>
        <w:jc w:val="both"/>
        <w:rPr>
          <w:rFonts w:ascii="Arial" w:hAnsi="Arial" w:cs="Arial"/>
          <w:sz w:val="18"/>
          <w:szCs w:val="20"/>
          <w:lang w:val="es-ES_tradnl"/>
        </w:rPr>
      </w:pPr>
      <w:r w:rsidRPr="002E71A3">
        <w:rPr>
          <w:rFonts w:ascii="Arial" w:hAnsi="Arial" w:cs="Arial"/>
          <w:sz w:val="18"/>
          <w:szCs w:val="20"/>
          <w:lang w:val="es-ES_tradnl"/>
        </w:rPr>
        <w:t>Lanzamiento del Contrato Año con Período de Entrega correspondiente al 3º año siguiente.</w:t>
      </w:r>
    </w:p>
    <w:p w14:paraId="1F2E8984" w14:textId="77777777" w:rsidR="00C07B89" w:rsidRDefault="00C07B89" w:rsidP="00C07B89">
      <w:pPr>
        <w:spacing w:after="0"/>
        <w:rPr>
          <w:rFonts w:ascii="Arial" w:hAnsi="Arial" w:cs="Arial"/>
          <w:b/>
          <w:sz w:val="18"/>
          <w:szCs w:val="20"/>
          <w:lang w:val="es-ES_tradnl"/>
        </w:rPr>
      </w:pPr>
    </w:p>
    <w:p w14:paraId="575E436D" w14:textId="77777777" w:rsidR="00C07B89" w:rsidRPr="005B701C" w:rsidRDefault="00C07B89" w:rsidP="00C07B89">
      <w:pPr>
        <w:spacing w:after="0"/>
        <w:rPr>
          <w:rFonts w:ascii="Arial" w:hAnsi="Arial" w:cs="Arial"/>
          <w:b/>
          <w:sz w:val="18"/>
          <w:szCs w:val="20"/>
          <w:lang w:val="es-ES"/>
        </w:rPr>
      </w:pPr>
      <w:r w:rsidRPr="005B701C">
        <w:rPr>
          <w:rFonts w:ascii="Arial" w:hAnsi="Arial" w:cs="Arial"/>
          <w:b/>
          <w:sz w:val="18"/>
          <w:szCs w:val="20"/>
          <w:lang w:val="es-ES"/>
        </w:rPr>
        <w:t>19.</w:t>
      </w:r>
      <w:r>
        <w:rPr>
          <w:rFonts w:ascii="Arial" w:hAnsi="Arial" w:cs="Arial"/>
          <w:b/>
          <w:sz w:val="18"/>
          <w:szCs w:val="20"/>
          <w:lang w:val="es-ES"/>
        </w:rPr>
        <w:t>di</w:t>
      </w:r>
      <w:r w:rsidRPr="005B701C">
        <w:rPr>
          <w:rFonts w:ascii="Arial" w:hAnsi="Arial" w:cs="Arial"/>
          <w:b/>
          <w:sz w:val="18"/>
          <w:szCs w:val="20"/>
          <w:lang w:val="es-ES"/>
        </w:rPr>
        <w:t>ciembre.2012</w:t>
      </w:r>
      <w:r w:rsidRPr="005B701C">
        <w:rPr>
          <w:rFonts w:ascii="Arial" w:hAnsi="Arial" w:cs="Arial"/>
          <w:b/>
          <w:sz w:val="18"/>
          <w:szCs w:val="20"/>
          <w:lang w:val="es-ES"/>
        </w:rPr>
        <w:tab/>
      </w:r>
    </w:p>
    <w:p w14:paraId="564D8875" w14:textId="77777777" w:rsidR="00C07B89" w:rsidRPr="005B701C" w:rsidRDefault="00C07B89" w:rsidP="00C07B89">
      <w:pPr>
        <w:spacing w:after="0"/>
        <w:jc w:val="both"/>
        <w:rPr>
          <w:rFonts w:ascii="Arial" w:hAnsi="Arial" w:cs="Arial"/>
          <w:sz w:val="18"/>
          <w:szCs w:val="20"/>
          <w:lang w:val="es-ES"/>
        </w:rPr>
      </w:pPr>
      <w:r w:rsidRPr="00D42D75">
        <w:rPr>
          <w:rFonts w:ascii="Arial" w:hAnsi="Arial" w:cs="Arial"/>
          <w:sz w:val="18"/>
          <w:szCs w:val="20"/>
          <w:lang w:val="es-ES_tradnl"/>
        </w:rPr>
        <w:t>Modificació</w:t>
      </w:r>
      <w:r>
        <w:rPr>
          <w:rFonts w:ascii="Arial" w:hAnsi="Arial" w:cs="Arial"/>
          <w:sz w:val="18"/>
          <w:szCs w:val="20"/>
          <w:lang w:val="es-ES_tradnl"/>
        </w:rPr>
        <w:t>n</w:t>
      </w:r>
      <w:r w:rsidRPr="005B701C">
        <w:rPr>
          <w:rFonts w:ascii="Arial" w:hAnsi="Arial" w:cs="Arial"/>
          <w:sz w:val="18"/>
          <w:szCs w:val="20"/>
          <w:lang w:val="es-ES"/>
        </w:rPr>
        <w:t xml:space="preserve"> de la </w:t>
      </w:r>
      <w:r>
        <w:rPr>
          <w:rFonts w:ascii="Arial" w:hAnsi="Arial" w:cs="Arial"/>
          <w:sz w:val="18"/>
          <w:szCs w:val="20"/>
          <w:lang w:val="es-ES"/>
        </w:rPr>
        <w:t>Cláusula 11</w:t>
      </w:r>
      <w:r w:rsidRPr="005B701C">
        <w:rPr>
          <w:rFonts w:ascii="Arial" w:hAnsi="Arial" w:cs="Arial"/>
          <w:sz w:val="18"/>
          <w:szCs w:val="20"/>
          <w:lang w:val="es-ES"/>
        </w:rPr>
        <w:t>.</w:t>
      </w:r>
    </w:p>
    <w:p w14:paraId="7778E4DD" w14:textId="77777777" w:rsidR="00504B18" w:rsidRPr="00C07B89" w:rsidRDefault="00504B18" w:rsidP="00DA0AEF">
      <w:pPr>
        <w:spacing w:after="0"/>
        <w:rPr>
          <w:rFonts w:ascii="Arial" w:hAnsi="Arial" w:cs="Arial"/>
          <w:b/>
          <w:sz w:val="18"/>
          <w:szCs w:val="20"/>
          <w:lang w:val="es-ES"/>
        </w:rPr>
      </w:pPr>
    </w:p>
    <w:p w14:paraId="73F0F5DB" w14:textId="77777777" w:rsidR="000616DB" w:rsidRPr="00CF1E8F" w:rsidRDefault="000616DB" w:rsidP="000616DB">
      <w:pPr>
        <w:spacing w:after="0"/>
        <w:rPr>
          <w:rFonts w:ascii="Arial" w:hAnsi="Arial" w:cs="Arial"/>
          <w:b/>
          <w:sz w:val="18"/>
          <w:szCs w:val="20"/>
          <w:lang w:val="es-ES_tradnl"/>
        </w:rPr>
      </w:pPr>
      <w:r w:rsidRPr="00CF1E8F">
        <w:rPr>
          <w:rFonts w:ascii="Arial" w:hAnsi="Arial" w:cs="Arial"/>
          <w:b/>
          <w:sz w:val="18"/>
          <w:szCs w:val="20"/>
          <w:lang w:val="es-ES_tradnl"/>
        </w:rPr>
        <w:t>7.febrero.2014</w:t>
      </w:r>
    </w:p>
    <w:p w14:paraId="7E14D142" w14:textId="77777777" w:rsidR="000616DB" w:rsidRPr="000616DB" w:rsidRDefault="000616DB" w:rsidP="000616DB">
      <w:pPr>
        <w:spacing w:after="0"/>
        <w:jc w:val="both"/>
        <w:rPr>
          <w:rFonts w:ascii="Arial" w:hAnsi="Arial" w:cs="Arial"/>
          <w:sz w:val="18"/>
          <w:szCs w:val="20"/>
          <w:lang w:val="es-ES_tradnl"/>
        </w:rPr>
      </w:pPr>
      <w:r w:rsidRPr="000616DB">
        <w:rPr>
          <w:rFonts w:ascii="Arial" w:hAnsi="Arial" w:cs="Arial"/>
          <w:sz w:val="18"/>
          <w:szCs w:val="20"/>
          <w:lang w:val="es-ES_tradnl"/>
        </w:rPr>
        <w:t>Inclusión de los Contratos de Futuros MIBEL PTEL Base Financieros Día y Fi</w:t>
      </w:r>
      <w:r>
        <w:rPr>
          <w:rFonts w:ascii="Arial" w:hAnsi="Arial" w:cs="Arial"/>
          <w:sz w:val="18"/>
          <w:szCs w:val="20"/>
          <w:lang w:val="es-ES_tradnl"/>
        </w:rPr>
        <w:t>n</w:t>
      </w:r>
      <w:r w:rsidR="00CF1E8F">
        <w:rPr>
          <w:rFonts w:ascii="Arial" w:hAnsi="Arial" w:cs="Arial"/>
          <w:sz w:val="18"/>
          <w:szCs w:val="20"/>
          <w:lang w:val="es-ES_tradnl"/>
        </w:rPr>
        <w:t xml:space="preserve"> </w:t>
      </w:r>
      <w:r w:rsidRPr="000616DB">
        <w:rPr>
          <w:rFonts w:ascii="Arial" w:hAnsi="Arial" w:cs="Arial"/>
          <w:sz w:val="18"/>
          <w:szCs w:val="20"/>
          <w:lang w:val="es-ES_tradnl"/>
        </w:rPr>
        <w:t>de</w:t>
      </w:r>
      <w:r w:rsidR="00CF1E8F">
        <w:rPr>
          <w:rFonts w:ascii="Arial" w:hAnsi="Arial" w:cs="Arial"/>
          <w:sz w:val="18"/>
          <w:szCs w:val="20"/>
          <w:lang w:val="es-ES_tradnl"/>
        </w:rPr>
        <w:t xml:space="preserve"> </w:t>
      </w:r>
      <w:r w:rsidRPr="000616DB">
        <w:rPr>
          <w:rFonts w:ascii="Arial" w:hAnsi="Arial" w:cs="Arial"/>
          <w:sz w:val="18"/>
          <w:szCs w:val="20"/>
          <w:lang w:val="es-ES_tradnl"/>
        </w:rPr>
        <w:t>Semana.</w:t>
      </w:r>
    </w:p>
    <w:p w14:paraId="7FACD72B" w14:textId="77777777" w:rsidR="00392B2D" w:rsidRDefault="00392B2D" w:rsidP="00730F35">
      <w:pPr>
        <w:spacing w:after="0"/>
        <w:rPr>
          <w:rFonts w:ascii="Arial" w:hAnsi="Arial" w:cs="Arial"/>
          <w:b/>
          <w:sz w:val="18"/>
          <w:szCs w:val="20"/>
          <w:lang w:val="es-ES"/>
        </w:rPr>
      </w:pPr>
    </w:p>
    <w:p w14:paraId="24C7991D" w14:textId="77777777" w:rsidR="00730F35" w:rsidRPr="00121BB7" w:rsidRDefault="002747C0" w:rsidP="00730F35">
      <w:pPr>
        <w:spacing w:after="0"/>
        <w:rPr>
          <w:rFonts w:ascii="Arial" w:hAnsi="Arial" w:cs="Arial"/>
          <w:b/>
          <w:sz w:val="18"/>
          <w:szCs w:val="20"/>
          <w:lang w:val="es-ES"/>
        </w:rPr>
      </w:pPr>
      <w:r w:rsidRPr="00121BB7">
        <w:rPr>
          <w:rFonts w:ascii="Arial" w:hAnsi="Arial" w:cs="Arial"/>
          <w:b/>
          <w:sz w:val="18"/>
          <w:szCs w:val="20"/>
          <w:lang w:val="es-ES"/>
        </w:rPr>
        <w:t>1.</w:t>
      </w:r>
      <w:r w:rsidR="0049159F" w:rsidRPr="00121BB7">
        <w:rPr>
          <w:rFonts w:ascii="Arial" w:hAnsi="Arial" w:cs="Arial"/>
          <w:b/>
          <w:sz w:val="18"/>
          <w:szCs w:val="20"/>
          <w:lang w:val="es-ES"/>
        </w:rPr>
        <w:t>s</w:t>
      </w:r>
      <w:r w:rsidRPr="00121BB7">
        <w:rPr>
          <w:rFonts w:ascii="Arial" w:hAnsi="Arial" w:cs="Arial"/>
          <w:b/>
          <w:sz w:val="18"/>
          <w:szCs w:val="20"/>
          <w:lang w:val="es-ES"/>
        </w:rPr>
        <w:t>e</w:t>
      </w:r>
      <w:r w:rsidR="001434FF" w:rsidRPr="00121BB7">
        <w:rPr>
          <w:rFonts w:ascii="Arial" w:hAnsi="Arial" w:cs="Arial"/>
          <w:b/>
          <w:sz w:val="18"/>
          <w:szCs w:val="20"/>
          <w:lang w:val="es-ES"/>
        </w:rPr>
        <w:t>p</w:t>
      </w:r>
      <w:r w:rsidRPr="00121BB7">
        <w:rPr>
          <w:rFonts w:ascii="Arial" w:hAnsi="Arial" w:cs="Arial"/>
          <w:b/>
          <w:sz w:val="18"/>
          <w:szCs w:val="20"/>
          <w:lang w:val="es-ES"/>
        </w:rPr>
        <w:t>tiembre</w:t>
      </w:r>
      <w:r w:rsidR="00730F35" w:rsidRPr="00121BB7">
        <w:rPr>
          <w:rFonts w:ascii="Arial" w:hAnsi="Arial" w:cs="Arial"/>
          <w:b/>
          <w:sz w:val="18"/>
          <w:szCs w:val="20"/>
          <w:lang w:val="es-ES"/>
        </w:rPr>
        <w:t>.201</w:t>
      </w:r>
      <w:r w:rsidR="00B50184" w:rsidRPr="00121BB7">
        <w:rPr>
          <w:rFonts w:ascii="Arial" w:hAnsi="Arial" w:cs="Arial"/>
          <w:b/>
          <w:sz w:val="18"/>
          <w:szCs w:val="20"/>
          <w:lang w:val="es-ES"/>
        </w:rPr>
        <w:t>5</w:t>
      </w:r>
    </w:p>
    <w:p w14:paraId="1849B731" w14:textId="77777777" w:rsidR="00730F35" w:rsidRDefault="00CD7C51" w:rsidP="000616DB">
      <w:pPr>
        <w:rPr>
          <w:rFonts w:ascii="Arial" w:hAnsi="Arial" w:cs="Arial"/>
          <w:sz w:val="18"/>
          <w:szCs w:val="20"/>
          <w:lang w:val="es-ES"/>
        </w:rPr>
      </w:pPr>
      <w:r w:rsidRPr="00121BB7">
        <w:rPr>
          <w:rFonts w:ascii="Arial" w:hAnsi="Arial" w:cs="Arial"/>
          <w:sz w:val="18"/>
          <w:szCs w:val="20"/>
          <w:lang w:val="es-ES"/>
        </w:rPr>
        <w:t xml:space="preserve">Introducción del mercado </w:t>
      </w:r>
      <w:r w:rsidRPr="00CD7C51">
        <w:rPr>
          <w:rFonts w:ascii="Arial" w:hAnsi="Arial" w:cs="Arial"/>
          <w:sz w:val="18"/>
          <w:szCs w:val="20"/>
          <w:lang w:val="es-ES"/>
        </w:rPr>
        <w:t>continuo</w:t>
      </w:r>
      <w:r w:rsidRPr="00121BB7">
        <w:rPr>
          <w:rFonts w:ascii="Arial" w:hAnsi="Arial" w:cs="Arial"/>
          <w:sz w:val="18"/>
          <w:szCs w:val="20"/>
          <w:lang w:val="es-ES"/>
        </w:rPr>
        <w:t xml:space="preserve"> para los productos "Day-</w:t>
      </w:r>
      <w:proofErr w:type="spellStart"/>
      <w:r w:rsidRPr="00121BB7">
        <w:rPr>
          <w:rFonts w:ascii="Arial" w:hAnsi="Arial" w:cs="Arial"/>
          <w:sz w:val="18"/>
          <w:szCs w:val="20"/>
          <w:lang w:val="es-ES"/>
        </w:rPr>
        <w:t>Ahead</w:t>
      </w:r>
      <w:proofErr w:type="spellEnd"/>
      <w:r w:rsidRPr="00121BB7">
        <w:rPr>
          <w:rFonts w:ascii="Arial" w:hAnsi="Arial" w:cs="Arial"/>
          <w:sz w:val="18"/>
          <w:szCs w:val="20"/>
          <w:lang w:val="es-ES"/>
        </w:rPr>
        <w:t>".</w:t>
      </w:r>
    </w:p>
    <w:p w14:paraId="5F059B7B" w14:textId="77777777" w:rsidR="00202331" w:rsidRPr="00F74914" w:rsidRDefault="00F74914" w:rsidP="00202331">
      <w:pPr>
        <w:spacing w:after="0"/>
        <w:rPr>
          <w:rFonts w:ascii="Arial" w:hAnsi="Arial" w:cs="Arial"/>
          <w:b/>
          <w:sz w:val="18"/>
          <w:szCs w:val="20"/>
          <w:lang w:val="es-ES"/>
        </w:rPr>
      </w:pPr>
      <w:r>
        <w:rPr>
          <w:rFonts w:ascii="Arial" w:hAnsi="Arial" w:cs="Arial"/>
          <w:b/>
          <w:sz w:val="18"/>
          <w:szCs w:val="20"/>
          <w:lang w:val="es-ES"/>
        </w:rPr>
        <w:t>13.mayo.2016</w:t>
      </w:r>
    </w:p>
    <w:p w14:paraId="752A9EDD" w14:textId="77777777" w:rsidR="00202331" w:rsidRDefault="00202331" w:rsidP="00202331">
      <w:pPr>
        <w:spacing w:after="0"/>
        <w:jc w:val="both"/>
        <w:rPr>
          <w:rFonts w:ascii="Arial" w:hAnsi="Arial" w:cs="Arial"/>
          <w:sz w:val="18"/>
          <w:szCs w:val="20"/>
          <w:lang w:val="es-ES"/>
        </w:rPr>
      </w:pPr>
      <w:r w:rsidRPr="00043DED">
        <w:rPr>
          <w:rFonts w:ascii="Arial" w:hAnsi="Arial" w:cs="Arial"/>
          <w:sz w:val="18"/>
          <w:szCs w:val="20"/>
          <w:lang w:val="es-ES"/>
        </w:rPr>
        <w:t xml:space="preserve">Introducción </w:t>
      </w:r>
      <w:r w:rsidR="00392B2D">
        <w:rPr>
          <w:rFonts w:ascii="Arial" w:hAnsi="Arial" w:cs="Arial"/>
          <w:sz w:val="18"/>
          <w:szCs w:val="20"/>
          <w:lang w:val="es-ES"/>
        </w:rPr>
        <w:t xml:space="preserve">del método </w:t>
      </w:r>
      <w:r w:rsidRPr="00043DED">
        <w:rPr>
          <w:rFonts w:ascii="Arial" w:hAnsi="Arial" w:cs="Arial"/>
          <w:sz w:val="18"/>
          <w:szCs w:val="20"/>
          <w:lang w:val="es-ES"/>
        </w:rPr>
        <w:t xml:space="preserve">de </w:t>
      </w:r>
      <w:r w:rsidR="00392B2D">
        <w:rPr>
          <w:rFonts w:ascii="Arial" w:hAnsi="Arial" w:cs="Arial"/>
          <w:sz w:val="18"/>
          <w:szCs w:val="20"/>
          <w:lang w:val="es-ES"/>
        </w:rPr>
        <w:t>“</w:t>
      </w:r>
      <w:proofErr w:type="spellStart"/>
      <w:r>
        <w:rPr>
          <w:rFonts w:ascii="Arial" w:hAnsi="Arial" w:cs="Arial"/>
          <w:sz w:val="18"/>
          <w:szCs w:val="20"/>
          <w:lang w:val="es-ES"/>
        </w:rPr>
        <w:t>Rollover</w:t>
      </w:r>
      <w:proofErr w:type="spellEnd"/>
      <w:r w:rsidR="00392B2D">
        <w:rPr>
          <w:rFonts w:ascii="Arial" w:hAnsi="Arial" w:cs="Arial"/>
          <w:sz w:val="18"/>
          <w:szCs w:val="20"/>
          <w:lang w:val="es-ES"/>
        </w:rPr>
        <w:t>”</w:t>
      </w:r>
      <w:r w:rsidRPr="00043DED">
        <w:rPr>
          <w:rFonts w:ascii="Arial" w:hAnsi="Arial" w:cs="Arial"/>
          <w:sz w:val="18"/>
          <w:szCs w:val="20"/>
          <w:lang w:val="es-ES"/>
        </w:rPr>
        <w:t xml:space="preserve"> </w:t>
      </w:r>
      <w:r>
        <w:rPr>
          <w:rFonts w:ascii="Arial" w:hAnsi="Arial" w:cs="Arial"/>
          <w:sz w:val="18"/>
          <w:szCs w:val="20"/>
          <w:lang w:val="es-ES"/>
        </w:rPr>
        <w:t xml:space="preserve">para la lista </w:t>
      </w:r>
      <w:r w:rsidRPr="00043DED">
        <w:rPr>
          <w:rFonts w:ascii="Arial" w:hAnsi="Arial" w:cs="Arial"/>
          <w:sz w:val="18"/>
          <w:szCs w:val="20"/>
          <w:lang w:val="es-ES"/>
        </w:rPr>
        <w:t>de contratos meses y trimestres.</w:t>
      </w:r>
      <w:r>
        <w:rPr>
          <w:rFonts w:ascii="Arial" w:hAnsi="Arial" w:cs="Arial"/>
          <w:sz w:val="18"/>
          <w:szCs w:val="20"/>
          <w:lang w:val="es-ES"/>
        </w:rPr>
        <w:t xml:space="preserve"> </w:t>
      </w:r>
      <w:r w:rsidR="00392B2D">
        <w:rPr>
          <w:rFonts w:ascii="Arial" w:hAnsi="Arial" w:cs="Arial"/>
          <w:sz w:val="18"/>
          <w:szCs w:val="20"/>
          <w:lang w:val="es-ES"/>
        </w:rPr>
        <w:t>Modificación de la r</w:t>
      </w:r>
      <w:r>
        <w:rPr>
          <w:rFonts w:ascii="Arial" w:hAnsi="Arial" w:cs="Arial"/>
          <w:sz w:val="18"/>
          <w:szCs w:val="20"/>
          <w:lang w:val="es-ES"/>
        </w:rPr>
        <w:t xml:space="preserve">eferencia </w:t>
      </w:r>
      <w:r w:rsidR="00392B2D">
        <w:rPr>
          <w:rFonts w:ascii="Arial" w:hAnsi="Arial" w:cs="Arial"/>
          <w:sz w:val="18"/>
          <w:szCs w:val="20"/>
          <w:lang w:val="es-ES"/>
        </w:rPr>
        <w:t xml:space="preserve">horaria </w:t>
      </w:r>
      <w:r>
        <w:rPr>
          <w:rFonts w:ascii="Arial" w:hAnsi="Arial" w:cs="Arial"/>
          <w:sz w:val="18"/>
          <w:szCs w:val="20"/>
          <w:lang w:val="es-ES"/>
        </w:rPr>
        <w:t>para la</w:t>
      </w:r>
      <w:r w:rsidRPr="00043DED">
        <w:rPr>
          <w:rFonts w:ascii="Arial" w:hAnsi="Arial" w:cs="Arial"/>
          <w:sz w:val="18"/>
          <w:szCs w:val="20"/>
          <w:lang w:val="es-ES"/>
        </w:rPr>
        <w:t xml:space="preserve"> hora </w:t>
      </w:r>
      <w:r w:rsidR="00392B2D">
        <w:rPr>
          <w:rFonts w:ascii="Arial" w:hAnsi="Arial" w:cs="Arial"/>
          <w:sz w:val="18"/>
          <w:szCs w:val="20"/>
          <w:lang w:val="es-ES"/>
        </w:rPr>
        <w:t xml:space="preserve">central europea </w:t>
      </w:r>
      <w:r w:rsidRPr="00043DED">
        <w:rPr>
          <w:rFonts w:ascii="Arial" w:hAnsi="Arial" w:cs="Arial"/>
          <w:sz w:val="18"/>
          <w:szCs w:val="20"/>
          <w:lang w:val="es-ES"/>
        </w:rPr>
        <w:t xml:space="preserve">(CET). Lanzamiento del </w:t>
      </w:r>
      <w:r w:rsidR="00392B2D">
        <w:rPr>
          <w:rFonts w:ascii="Arial" w:hAnsi="Arial" w:cs="Arial"/>
          <w:sz w:val="18"/>
          <w:szCs w:val="20"/>
          <w:lang w:val="es-ES"/>
        </w:rPr>
        <w:t>C</w:t>
      </w:r>
      <w:r w:rsidRPr="00043DED">
        <w:rPr>
          <w:rFonts w:ascii="Arial" w:hAnsi="Arial" w:cs="Arial"/>
          <w:sz w:val="18"/>
          <w:szCs w:val="20"/>
          <w:lang w:val="es-ES"/>
        </w:rPr>
        <w:t xml:space="preserve">ontrato </w:t>
      </w:r>
      <w:r w:rsidR="00392B2D">
        <w:rPr>
          <w:rFonts w:ascii="Arial" w:hAnsi="Arial" w:cs="Arial"/>
          <w:sz w:val="18"/>
          <w:szCs w:val="20"/>
          <w:lang w:val="es-ES"/>
        </w:rPr>
        <w:t>A</w:t>
      </w:r>
      <w:r>
        <w:rPr>
          <w:rFonts w:ascii="Arial" w:hAnsi="Arial" w:cs="Arial"/>
          <w:sz w:val="18"/>
          <w:szCs w:val="20"/>
          <w:lang w:val="es-ES"/>
        </w:rPr>
        <w:t>ño con Período de E</w:t>
      </w:r>
      <w:r w:rsidRPr="00043DED">
        <w:rPr>
          <w:rFonts w:ascii="Arial" w:hAnsi="Arial" w:cs="Arial"/>
          <w:sz w:val="18"/>
          <w:szCs w:val="20"/>
          <w:lang w:val="es-ES"/>
        </w:rPr>
        <w:t xml:space="preserve">ntrega </w:t>
      </w:r>
      <w:r w:rsidR="00392B2D">
        <w:rPr>
          <w:rFonts w:ascii="Arial" w:hAnsi="Arial" w:cs="Arial"/>
          <w:sz w:val="18"/>
          <w:szCs w:val="20"/>
          <w:lang w:val="es-ES"/>
        </w:rPr>
        <w:t xml:space="preserve">relativo </w:t>
      </w:r>
      <w:r w:rsidRPr="00043DED">
        <w:rPr>
          <w:rFonts w:ascii="Arial" w:hAnsi="Arial" w:cs="Arial"/>
          <w:sz w:val="18"/>
          <w:szCs w:val="20"/>
          <w:lang w:val="es-ES"/>
        </w:rPr>
        <w:t>al 4</w:t>
      </w:r>
      <w:r>
        <w:rPr>
          <w:rFonts w:ascii="Arial" w:hAnsi="Arial" w:cs="Arial"/>
          <w:sz w:val="18"/>
          <w:szCs w:val="20"/>
          <w:lang w:val="es-ES"/>
        </w:rPr>
        <w:t>º</w:t>
      </w:r>
      <w:r w:rsidRPr="00043DED">
        <w:rPr>
          <w:rFonts w:ascii="Arial" w:hAnsi="Arial" w:cs="Arial"/>
          <w:sz w:val="18"/>
          <w:szCs w:val="20"/>
          <w:lang w:val="es-ES"/>
        </w:rPr>
        <w:t xml:space="preserve"> </w:t>
      </w:r>
      <w:r>
        <w:rPr>
          <w:rFonts w:ascii="Arial" w:hAnsi="Arial" w:cs="Arial"/>
          <w:sz w:val="18"/>
          <w:szCs w:val="20"/>
          <w:lang w:val="es-ES"/>
        </w:rPr>
        <w:t xml:space="preserve">año </w:t>
      </w:r>
      <w:r w:rsidRPr="00043DED">
        <w:rPr>
          <w:rFonts w:ascii="Arial" w:hAnsi="Arial" w:cs="Arial"/>
          <w:sz w:val="18"/>
          <w:szCs w:val="20"/>
          <w:lang w:val="es-ES"/>
        </w:rPr>
        <w:t>siguiente</w:t>
      </w:r>
      <w:r>
        <w:rPr>
          <w:rFonts w:ascii="Arial" w:hAnsi="Arial" w:cs="Arial"/>
          <w:sz w:val="18"/>
          <w:szCs w:val="20"/>
          <w:lang w:val="es-ES"/>
        </w:rPr>
        <w:t>.</w:t>
      </w:r>
    </w:p>
    <w:p w14:paraId="7F1D74AD" w14:textId="77777777" w:rsidR="00C50D4D" w:rsidRDefault="00C50D4D" w:rsidP="00202331">
      <w:pPr>
        <w:spacing w:after="0"/>
        <w:jc w:val="both"/>
        <w:rPr>
          <w:rFonts w:ascii="Arial" w:hAnsi="Arial" w:cs="Arial"/>
          <w:sz w:val="18"/>
          <w:szCs w:val="20"/>
          <w:lang w:val="es-ES"/>
        </w:rPr>
      </w:pPr>
    </w:p>
    <w:p w14:paraId="2811FC5F" w14:textId="77777777" w:rsidR="00C50D4D" w:rsidRDefault="00516B7D" w:rsidP="00C50D4D">
      <w:pPr>
        <w:spacing w:after="0"/>
        <w:rPr>
          <w:rFonts w:ascii="Arial" w:hAnsi="Arial" w:cs="Arial"/>
          <w:sz w:val="18"/>
          <w:szCs w:val="20"/>
          <w:lang w:val="es-ES"/>
        </w:rPr>
      </w:pPr>
      <w:r>
        <w:rPr>
          <w:rFonts w:ascii="Arial" w:hAnsi="Arial" w:cs="Arial"/>
          <w:b/>
          <w:sz w:val="18"/>
          <w:szCs w:val="20"/>
          <w:lang w:val="es-ES"/>
        </w:rPr>
        <w:t>04.septiembre</w:t>
      </w:r>
      <w:r w:rsidR="00C50D4D">
        <w:rPr>
          <w:rFonts w:ascii="Arial" w:hAnsi="Arial" w:cs="Arial"/>
          <w:b/>
          <w:sz w:val="18"/>
          <w:szCs w:val="20"/>
          <w:lang w:val="es-ES"/>
        </w:rPr>
        <w:t>.2018</w:t>
      </w:r>
    </w:p>
    <w:p w14:paraId="550B952A" w14:textId="77777777" w:rsidR="00C50D4D" w:rsidRDefault="00C50D4D" w:rsidP="00C50D4D">
      <w:pPr>
        <w:spacing w:after="0"/>
        <w:rPr>
          <w:rFonts w:ascii="Arial" w:hAnsi="Arial" w:cs="Arial"/>
          <w:b/>
          <w:sz w:val="18"/>
          <w:szCs w:val="20"/>
          <w:lang w:val="es-ES"/>
        </w:rPr>
      </w:pPr>
      <w:r>
        <w:rPr>
          <w:rFonts w:ascii="Arial" w:hAnsi="Arial" w:cs="Arial"/>
          <w:sz w:val="18"/>
          <w:szCs w:val="20"/>
          <w:lang w:val="es-ES"/>
        </w:rPr>
        <w:t>Lanzamiento del Contrato Año con Período de Entrega relativo al 5º año siguiente.</w:t>
      </w:r>
    </w:p>
    <w:p w14:paraId="38663F21" w14:textId="77777777" w:rsidR="00C50D4D" w:rsidRPr="00043DED" w:rsidRDefault="00C50D4D" w:rsidP="00202331">
      <w:pPr>
        <w:spacing w:after="0"/>
        <w:jc w:val="both"/>
        <w:rPr>
          <w:rFonts w:ascii="Arial" w:hAnsi="Arial" w:cs="Arial"/>
          <w:sz w:val="18"/>
          <w:szCs w:val="20"/>
          <w:lang w:val="es-ES"/>
        </w:rPr>
      </w:pPr>
    </w:p>
    <w:p w14:paraId="4590AAC8" w14:textId="77777777" w:rsidR="001C5785" w:rsidRPr="004B6591" w:rsidRDefault="004B6591" w:rsidP="004B6591">
      <w:pPr>
        <w:spacing w:after="0"/>
        <w:rPr>
          <w:rFonts w:ascii="Arial" w:hAnsi="Arial" w:cs="Arial"/>
          <w:b/>
          <w:sz w:val="18"/>
          <w:szCs w:val="20"/>
          <w:lang w:val="es-ES"/>
        </w:rPr>
      </w:pPr>
      <w:r>
        <w:rPr>
          <w:rFonts w:ascii="Arial" w:hAnsi="Arial" w:cs="Arial"/>
          <w:b/>
          <w:sz w:val="18"/>
          <w:szCs w:val="20"/>
          <w:lang w:val="es-ES"/>
        </w:rPr>
        <w:t>08.enero.2019</w:t>
      </w:r>
    </w:p>
    <w:p w14:paraId="59F493AB" w14:textId="6F7F941B" w:rsidR="00202331" w:rsidRDefault="001C5785" w:rsidP="004B6591">
      <w:pPr>
        <w:spacing w:after="0"/>
        <w:rPr>
          <w:rFonts w:ascii="Arial" w:hAnsi="Arial" w:cs="Arial"/>
          <w:sz w:val="18"/>
          <w:szCs w:val="20"/>
          <w:lang w:val="es-ES"/>
        </w:rPr>
      </w:pPr>
      <w:r w:rsidRPr="004B6591">
        <w:rPr>
          <w:rFonts w:ascii="Arial" w:hAnsi="Arial" w:cs="Arial"/>
          <w:sz w:val="18"/>
          <w:szCs w:val="20"/>
          <w:lang w:val="es-ES"/>
        </w:rPr>
        <w:t>Lanzamiento de los Contratos Año con Período de Entrega correspondiente al 6º y 7º año siguiente.</w:t>
      </w:r>
    </w:p>
    <w:p w14:paraId="0C61C5E6" w14:textId="1DF1C639" w:rsidR="00660452" w:rsidRDefault="00660452" w:rsidP="004B6591">
      <w:pPr>
        <w:spacing w:after="0"/>
        <w:rPr>
          <w:rFonts w:ascii="Arial" w:hAnsi="Arial" w:cs="Arial"/>
          <w:sz w:val="18"/>
          <w:szCs w:val="20"/>
          <w:lang w:val="es-ES"/>
        </w:rPr>
      </w:pPr>
    </w:p>
    <w:p w14:paraId="57D35849" w14:textId="2D428C39" w:rsidR="00660452" w:rsidRPr="001C7275" w:rsidRDefault="00660452" w:rsidP="00660452">
      <w:pPr>
        <w:spacing w:after="0"/>
        <w:rPr>
          <w:rFonts w:ascii="Arial" w:hAnsi="Arial" w:cs="Arial"/>
          <w:b/>
          <w:sz w:val="18"/>
          <w:szCs w:val="20"/>
          <w:lang w:val="es-ES"/>
        </w:rPr>
      </w:pPr>
      <w:bookmarkStart w:id="0" w:name="_Hlk43280954"/>
      <w:r>
        <w:rPr>
          <w:rFonts w:ascii="Arial" w:hAnsi="Arial" w:cs="Arial"/>
          <w:b/>
          <w:sz w:val="18"/>
          <w:szCs w:val="20"/>
          <w:lang w:val="es-ES"/>
        </w:rPr>
        <w:t>24.</w:t>
      </w:r>
      <w:r w:rsidR="00E64FF5">
        <w:rPr>
          <w:rFonts w:ascii="Arial" w:hAnsi="Arial" w:cs="Arial"/>
          <w:b/>
          <w:sz w:val="18"/>
          <w:szCs w:val="20"/>
          <w:lang w:val="es-ES"/>
        </w:rPr>
        <w:t>j</w:t>
      </w:r>
      <w:r>
        <w:rPr>
          <w:rFonts w:ascii="Arial" w:hAnsi="Arial" w:cs="Arial"/>
          <w:b/>
          <w:sz w:val="18"/>
          <w:szCs w:val="20"/>
          <w:lang w:val="es-ES"/>
        </w:rPr>
        <w:t>unio.2020</w:t>
      </w:r>
    </w:p>
    <w:p w14:paraId="61EEC355" w14:textId="77777777" w:rsidR="00660452" w:rsidRPr="003A7AE6" w:rsidRDefault="00660452" w:rsidP="00660452">
      <w:pPr>
        <w:spacing w:after="0"/>
        <w:rPr>
          <w:rFonts w:ascii="Arial" w:hAnsi="Arial" w:cs="Arial"/>
          <w:sz w:val="18"/>
          <w:szCs w:val="20"/>
          <w:lang w:val="es-ES"/>
        </w:rPr>
      </w:pPr>
      <w:r w:rsidRPr="003A7AE6">
        <w:rPr>
          <w:rFonts w:ascii="Arial" w:hAnsi="Arial" w:cs="Arial"/>
          <w:sz w:val="18"/>
          <w:szCs w:val="20"/>
          <w:lang w:val="es-ES"/>
        </w:rPr>
        <w:t xml:space="preserve">Lanzamiento de los Contratos Año con Período de Entrega correspondiente al </w:t>
      </w:r>
      <w:r>
        <w:rPr>
          <w:rFonts w:ascii="Arial" w:hAnsi="Arial" w:cs="Arial"/>
          <w:sz w:val="18"/>
          <w:szCs w:val="20"/>
          <w:lang w:val="es-ES"/>
        </w:rPr>
        <w:t>8</w:t>
      </w:r>
      <w:r w:rsidRPr="003A7AE6">
        <w:rPr>
          <w:rFonts w:ascii="Arial" w:hAnsi="Arial" w:cs="Arial"/>
          <w:sz w:val="18"/>
          <w:szCs w:val="20"/>
          <w:lang w:val="es-ES"/>
        </w:rPr>
        <w:t>º</w:t>
      </w:r>
      <w:r>
        <w:rPr>
          <w:rFonts w:ascii="Arial" w:hAnsi="Arial" w:cs="Arial"/>
          <w:sz w:val="18"/>
          <w:szCs w:val="20"/>
          <w:lang w:val="es-ES"/>
        </w:rPr>
        <w:t>,</w:t>
      </w:r>
      <w:r w:rsidRPr="003A7AE6">
        <w:rPr>
          <w:rFonts w:ascii="Arial" w:hAnsi="Arial" w:cs="Arial"/>
          <w:sz w:val="18"/>
          <w:szCs w:val="20"/>
          <w:lang w:val="es-ES"/>
        </w:rPr>
        <w:t xml:space="preserve"> </w:t>
      </w:r>
      <w:r>
        <w:rPr>
          <w:rFonts w:ascii="Arial" w:hAnsi="Arial" w:cs="Arial"/>
          <w:sz w:val="18"/>
          <w:szCs w:val="20"/>
          <w:lang w:val="es-ES"/>
        </w:rPr>
        <w:t>9</w:t>
      </w:r>
      <w:r w:rsidRPr="003A7AE6">
        <w:rPr>
          <w:rFonts w:ascii="Arial" w:hAnsi="Arial" w:cs="Arial"/>
          <w:sz w:val="18"/>
          <w:szCs w:val="20"/>
          <w:lang w:val="es-ES"/>
        </w:rPr>
        <w:t>º</w:t>
      </w:r>
      <w:r>
        <w:rPr>
          <w:rFonts w:ascii="Arial" w:hAnsi="Arial" w:cs="Arial"/>
          <w:sz w:val="18"/>
          <w:szCs w:val="20"/>
          <w:lang w:val="es-ES"/>
        </w:rPr>
        <w:t xml:space="preserve"> y 10º</w:t>
      </w:r>
      <w:r w:rsidRPr="003A7AE6">
        <w:rPr>
          <w:rFonts w:ascii="Arial" w:hAnsi="Arial" w:cs="Arial"/>
          <w:sz w:val="18"/>
          <w:szCs w:val="20"/>
          <w:lang w:val="es-ES"/>
        </w:rPr>
        <w:t xml:space="preserve"> año siguiente.</w:t>
      </w:r>
    </w:p>
    <w:bookmarkEnd w:id="0"/>
    <w:p w14:paraId="5F4E3EFD" w14:textId="77777777" w:rsidR="00660452" w:rsidRPr="004B6591" w:rsidRDefault="00660452" w:rsidP="004B6591">
      <w:pPr>
        <w:spacing w:after="0"/>
        <w:rPr>
          <w:rFonts w:ascii="Arial" w:hAnsi="Arial" w:cs="Arial"/>
          <w:sz w:val="18"/>
          <w:szCs w:val="20"/>
          <w:lang w:val="es-ES"/>
        </w:rPr>
      </w:pPr>
    </w:p>
    <w:p w14:paraId="15E6B180" w14:textId="4C5E6817" w:rsidR="006A2C8F" w:rsidRDefault="006A7F9A" w:rsidP="006A2C8F">
      <w:pPr>
        <w:spacing w:before="120" w:after="0"/>
        <w:rPr>
          <w:rFonts w:ascii="Arial" w:hAnsi="Arial" w:cs="Arial"/>
          <w:b/>
          <w:sz w:val="18"/>
          <w:szCs w:val="20"/>
          <w:lang w:val="es-ES"/>
        </w:rPr>
      </w:pPr>
      <w:r>
        <w:rPr>
          <w:rFonts w:ascii="Arial" w:hAnsi="Arial" w:cs="Arial"/>
          <w:b/>
          <w:sz w:val="18"/>
          <w:szCs w:val="20"/>
          <w:lang w:val="es-ES"/>
        </w:rPr>
        <w:t>19</w:t>
      </w:r>
      <w:r w:rsidR="006A2C8F">
        <w:rPr>
          <w:rFonts w:ascii="Arial" w:hAnsi="Arial" w:cs="Arial"/>
          <w:b/>
          <w:sz w:val="18"/>
          <w:szCs w:val="20"/>
          <w:lang w:val="es-ES"/>
        </w:rPr>
        <w:t>.</w:t>
      </w:r>
      <w:r>
        <w:rPr>
          <w:rFonts w:ascii="Arial" w:hAnsi="Arial" w:cs="Arial"/>
          <w:b/>
          <w:sz w:val="18"/>
          <w:szCs w:val="20"/>
          <w:lang w:val="es-ES"/>
        </w:rPr>
        <w:t>abril</w:t>
      </w:r>
      <w:r w:rsidR="006A2C8F">
        <w:rPr>
          <w:rFonts w:ascii="Arial" w:hAnsi="Arial" w:cs="Arial"/>
          <w:b/>
          <w:sz w:val="18"/>
          <w:szCs w:val="20"/>
          <w:lang w:val="es-ES"/>
        </w:rPr>
        <w:t>.2021</w:t>
      </w:r>
    </w:p>
    <w:p w14:paraId="4E343951" w14:textId="77777777" w:rsidR="006A2C8F" w:rsidRDefault="006A2C8F" w:rsidP="006A2C8F">
      <w:pPr>
        <w:spacing w:after="0"/>
        <w:rPr>
          <w:rFonts w:ascii="Arial" w:hAnsi="Arial" w:cs="Arial"/>
          <w:sz w:val="18"/>
          <w:szCs w:val="20"/>
          <w:lang w:val="es-ES_tradnl"/>
        </w:rPr>
      </w:pPr>
      <w:r>
        <w:rPr>
          <w:rFonts w:ascii="Arial" w:hAnsi="Arial" w:cs="Arial"/>
          <w:sz w:val="18"/>
          <w:szCs w:val="20"/>
          <w:lang w:val="es-ES"/>
        </w:rPr>
        <w:t>Lanzamiento del Contrato Semanal con Plazo de Entrega correspondiente a la cuarta semana siguiente.</w:t>
      </w:r>
    </w:p>
    <w:p w14:paraId="16D1FF3C" w14:textId="77777777" w:rsidR="000616DB" w:rsidRPr="006A7F9A" w:rsidRDefault="000616DB" w:rsidP="000616DB">
      <w:pPr>
        <w:rPr>
          <w:rFonts w:ascii="Arial" w:hAnsi="Arial" w:cs="Arial"/>
          <w:sz w:val="18"/>
          <w:szCs w:val="20"/>
          <w:lang w:val="es-ES_tradnl"/>
        </w:rPr>
      </w:pPr>
    </w:p>
    <w:p w14:paraId="67376252" w14:textId="1DB0C282" w:rsidR="00504B18" w:rsidRDefault="000616DB" w:rsidP="00DA0AEF">
      <w:pPr>
        <w:spacing w:after="0"/>
        <w:rPr>
          <w:rFonts w:ascii="Arial" w:hAnsi="Arial" w:cs="Arial"/>
          <w:b/>
          <w:sz w:val="18"/>
          <w:szCs w:val="20"/>
          <w:lang w:val="es-ES_tradnl"/>
        </w:rPr>
      </w:pPr>
      <w:r w:rsidRPr="00BC6AEC">
        <w:rPr>
          <w:rFonts w:ascii="Arial" w:hAnsi="Arial" w:cs="Arial"/>
          <w:color w:val="808080" w:themeColor="background1" w:themeShade="80"/>
          <w:sz w:val="18"/>
          <w:szCs w:val="20"/>
          <w:lang w:val="es-ES_tradnl"/>
        </w:rPr>
        <w:t xml:space="preserve">Este documento se encuentra disponible en </w:t>
      </w:r>
      <w:hyperlink r:id="rId10" w:history="1">
        <w:r w:rsidRPr="0082242D">
          <w:rPr>
            <w:rStyle w:val="Hiperligao"/>
            <w:rFonts w:ascii="Arial" w:hAnsi="Arial" w:cs="Arial"/>
            <w:sz w:val="18"/>
            <w:szCs w:val="20"/>
            <w:lang w:val="es-ES_tradnl"/>
          </w:rPr>
          <w:t>www.omip.eu</w:t>
        </w:r>
      </w:hyperlink>
      <w:r>
        <w:rPr>
          <w:rFonts w:ascii="Arial" w:hAnsi="Arial" w:cs="Arial"/>
          <w:color w:val="808080" w:themeColor="background1" w:themeShade="80"/>
          <w:sz w:val="18"/>
          <w:szCs w:val="20"/>
          <w:lang w:val="es-ES_tradnl"/>
        </w:rPr>
        <w:t xml:space="preserve"> </w:t>
      </w:r>
      <w:r w:rsidRPr="00BC6AEC">
        <w:rPr>
          <w:rFonts w:ascii="Arial" w:hAnsi="Arial" w:cs="Arial"/>
          <w:color w:val="808080" w:themeColor="background1" w:themeShade="80"/>
          <w:sz w:val="18"/>
          <w:szCs w:val="20"/>
          <w:lang w:val="es-ES_tradnl"/>
        </w:rPr>
        <w:t xml:space="preserve"> y</w:t>
      </w:r>
      <w:r>
        <w:rPr>
          <w:rFonts w:ascii="Arial" w:hAnsi="Arial" w:cs="Arial"/>
          <w:color w:val="808080" w:themeColor="background1" w:themeShade="80"/>
          <w:sz w:val="18"/>
          <w:szCs w:val="20"/>
          <w:lang w:val="es-ES_tradnl"/>
        </w:rPr>
        <w:t xml:space="preserve"> </w:t>
      </w:r>
      <w:r w:rsidRPr="00BC6AEC">
        <w:rPr>
          <w:rFonts w:ascii="Arial" w:hAnsi="Arial" w:cs="Arial"/>
          <w:color w:val="808080" w:themeColor="background1" w:themeShade="80"/>
          <w:sz w:val="18"/>
          <w:szCs w:val="20"/>
          <w:lang w:val="es-ES_tradnl"/>
        </w:rPr>
        <w:t xml:space="preserve"> </w:t>
      </w:r>
      <w:hyperlink r:id="rId11" w:history="1">
        <w:r w:rsidRPr="0082242D">
          <w:rPr>
            <w:rStyle w:val="Hiperligao"/>
            <w:rFonts w:ascii="Arial" w:hAnsi="Arial" w:cs="Arial"/>
            <w:sz w:val="18"/>
            <w:szCs w:val="20"/>
            <w:lang w:val="es-ES_tradnl"/>
          </w:rPr>
          <w:t>www.omiclear.eu</w:t>
        </w:r>
      </w:hyperlink>
      <w:r>
        <w:rPr>
          <w:rFonts w:ascii="Arial" w:hAnsi="Arial" w:cs="Arial"/>
          <w:color w:val="808080" w:themeColor="background1" w:themeShade="80"/>
          <w:sz w:val="18"/>
          <w:szCs w:val="20"/>
          <w:lang w:val="es-ES_tradnl"/>
        </w:rPr>
        <w:t xml:space="preserve"> </w:t>
      </w:r>
    </w:p>
    <w:p w14:paraId="52C3D29B" w14:textId="77777777" w:rsidR="000616DB" w:rsidRDefault="000616DB" w:rsidP="000616DB">
      <w:pPr>
        <w:spacing w:before="60" w:after="60"/>
        <w:jc w:val="both"/>
        <w:rPr>
          <w:rFonts w:ascii="Arial" w:hAnsi="Arial" w:cs="Arial"/>
          <w:b/>
          <w:bCs/>
          <w:color w:val="808080" w:themeColor="background1" w:themeShade="80"/>
          <w:sz w:val="18"/>
          <w:szCs w:val="20"/>
          <w:lang w:val="es-ES"/>
        </w:rPr>
      </w:pPr>
      <w:r>
        <w:rPr>
          <w:rFonts w:ascii="Arial" w:hAnsi="Arial" w:cs="Arial"/>
          <w:b/>
          <w:bCs/>
          <w:color w:val="808080" w:themeColor="background1" w:themeShade="80"/>
          <w:sz w:val="18"/>
          <w:szCs w:val="20"/>
          <w:lang w:val="es-ES"/>
        </w:rPr>
        <w:t>CLÁUSULA DE EXENCIÓN DE RESPONSABILIDAD</w:t>
      </w:r>
    </w:p>
    <w:p w14:paraId="3D7376F3" w14:textId="77777777" w:rsidR="000616DB" w:rsidRDefault="000616DB" w:rsidP="000616DB">
      <w:pPr>
        <w:jc w:val="both"/>
        <w:rPr>
          <w:rFonts w:ascii="Arial" w:hAnsi="Arial" w:cs="Arial"/>
          <w:bCs/>
          <w:color w:val="808080" w:themeColor="background1" w:themeShade="80"/>
          <w:sz w:val="18"/>
          <w:szCs w:val="20"/>
          <w:lang w:val="es-ES"/>
        </w:rPr>
      </w:pPr>
      <w:r>
        <w:rPr>
          <w:rFonts w:ascii="Arial" w:hAnsi="Arial" w:cs="Arial"/>
          <w:bCs/>
          <w:color w:val="808080" w:themeColor="background1" w:themeShade="80"/>
          <w:sz w:val="18"/>
          <w:szCs w:val="20"/>
          <w:lang w:val="es-ES"/>
        </w:rPr>
        <w:t xml:space="preserve">El siguiente texto en lengua española no es una traducción oficial y su único propósito es informar. El documento original está escrito en lengua portuguesa (disponible </w:t>
      </w:r>
      <w:r w:rsidRPr="00BC6AEC">
        <w:rPr>
          <w:rFonts w:ascii="Arial" w:hAnsi="Arial" w:cs="Arial"/>
          <w:color w:val="808080" w:themeColor="background1" w:themeShade="80"/>
          <w:sz w:val="18"/>
          <w:szCs w:val="20"/>
          <w:lang w:val="es-ES_tradnl"/>
        </w:rPr>
        <w:t xml:space="preserve">en </w:t>
      </w:r>
      <w:hyperlink r:id="rId12" w:history="1">
        <w:r w:rsidRPr="0082242D">
          <w:rPr>
            <w:rStyle w:val="Hiperligao"/>
            <w:rFonts w:ascii="Arial" w:hAnsi="Arial" w:cs="Arial"/>
            <w:sz w:val="18"/>
            <w:szCs w:val="20"/>
            <w:lang w:val="es-ES_tradnl"/>
          </w:rPr>
          <w:t>www.omip.eu</w:t>
        </w:r>
      </w:hyperlink>
      <w:r>
        <w:rPr>
          <w:rFonts w:ascii="Arial" w:hAnsi="Arial" w:cs="Arial"/>
          <w:color w:val="808080" w:themeColor="background1" w:themeShade="80"/>
          <w:sz w:val="18"/>
          <w:szCs w:val="20"/>
          <w:lang w:val="es-ES_tradnl"/>
        </w:rPr>
        <w:t xml:space="preserve"> </w:t>
      </w:r>
      <w:proofErr w:type="spellStart"/>
      <w:r>
        <w:rPr>
          <w:rFonts w:ascii="Arial" w:hAnsi="Arial" w:cs="Arial"/>
          <w:color w:val="808080" w:themeColor="background1" w:themeShade="80"/>
          <w:sz w:val="18"/>
          <w:szCs w:val="20"/>
          <w:lang w:val="es-ES_tradnl"/>
        </w:rPr>
        <w:t>or</w:t>
      </w:r>
      <w:proofErr w:type="spellEnd"/>
      <w:r w:rsidRPr="00BC6AEC">
        <w:rPr>
          <w:rFonts w:ascii="Arial" w:hAnsi="Arial" w:cs="Arial"/>
          <w:color w:val="808080" w:themeColor="background1" w:themeShade="80"/>
          <w:sz w:val="18"/>
          <w:szCs w:val="20"/>
          <w:lang w:val="es-ES_tradnl"/>
        </w:rPr>
        <w:t xml:space="preserve"> </w:t>
      </w:r>
      <w:hyperlink r:id="rId13" w:history="1">
        <w:r w:rsidRPr="0082242D">
          <w:rPr>
            <w:rStyle w:val="Hiperligao"/>
            <w:rFonts w:ascii="Arial" w:hAnsi="Arial" w:cs="Arial"/>
            <w:sz w:val="18"/>
            <w:szCs w:val="20"/>
            <w:lang w:val="es-ES_tradnl"/>
          </w:rPr>
          <w:t>www.omiclear.eu</w:t>
        </w:r>
      </w:hyperlink>
      <w:r>
        <w:rPr>
          <w:rFonts w:ascii="Arial" w:hAnsi="Arial" w:cs="Arial"/>
          <w:color w:val="808080" w:themeColor="background1" w:themeShade="80"/>
          <w:sz w:val="18"/>
          <w:szCs w:val="20"/>
          <w:lang w:val="es-ES_tradnl"/>
        </w:rPr>
        <w:t xml:space="preserve"> )</w:t>
      </w:r>
      <w:r>
        <w:rPr>
          <w:rFonts w:ascii="Arial" w:hAnsi="Arial" w:cs="Arial"/>
          <w:bCs/>
          <w:color w:val="808080" w:themeColor="background1" w:themeShade="80"/>
          <w:sz w:val="18"/>
          <w:szCs w:val="20"/>
          <w:lang w:val="es-ES"/>
        </w:rPr>
        <w:t xml:space="preserve"> y registrado por la Comisión del Mercado de Valores Mobiliarios (</w:t>
      </w:r>
      <w:proofErr w:type="spellStart"/>
      <w:r>
        <w:rPr>
          <w:rFonts w:ascii="Arial" w:hAnsi="Arial" w:cs="Arial"/>
          <w:bCs/>
          <w:color w:val="808080" w:themeColor="background1" w:themeShade="80"/>
          <w:sz w:val="18"/>
          <w:szCs w:val="20"/>
          <w:lang w:val="es-ES"/>
        </w:rPr>
        <w:t>Comissão</w:t>
      </w:r>
      <w:proofErr w:type="spellEnd"/>
      <w:r>
        <w:rPr>
          <w:rFonts w:ascii="Arial" w:hAnsi="Arial" w:cs="Arial"/>
          <w:bCs/>
          <w:color w:val="808080" w:themeColor="background1" w:themeShade="80"/>
          <w:sz w:val="18"/>
          <w:szCs w:val="20"/>
          <w:lang w:val="es-ES"/>
        </w:rPr>
        <w:t xml:space="preserve"> do Mercado de Valores </w:t>
      </w:r>
      <w:proofErr w:type="spellStart"/>
      <w:r>
        <w:rPr>
          <w:rFonts w:ascii="Arial" w:hAnsi="Arial" w:cs="Arial"/>
          <w:bCs/>
          <w:color w:val="808080" w:themeColor="background1" w:themeShade="80"/>
          <w:sz w:val="18"/>
          <w:szCs w:val="20"/>
          <w:lang w:val="es-ES"/>
        </w:rPr>
        <w:t>Mobiliários</w:t>
      </w:r>
      <w:proofErr w:type="spellEnd"/>
      <w:r>
        <w:rPr>
          <w:rFonts w:ascii="Arial" w:hAnsi="Arial" w:cs="Arial"/>
          <w:bCs/>
          <w:color w:val="808080" w:themeColor="background1" w:themeShade="80"/>
          <w:sz w:val="18"/>
          <w:szCs w:val="20"/>
          <w:lang w:val="es-ES"/>
        </w:rPr>
        <w:t xml:space="preserve">). Si hubiera alguna discrepancia entre el original portugués y la traducción española, prevalecerá el original portugués. Aunque se han realizado todos los esfuerzos para proporcionar una traducción exacta, no nos hacemos responsables de la exactitud de la traducción y no será asumida ninguna responsabilidad por el uso o la confianza depositada en la traducción española, ni por los errores o </w:t>
      </w:r>
      <w:proofErr w:type="gramStart"/>
      <w:r>
        <w:rPr>
          <w:rFonts w:ascii="Arial" w:hAnsi="Arial" w:cs="Arial"/>
          <w:bCs/>
          <w:color w:val="808080" w:themeColor="background1" w:themeShade="80"/>
          <w:sz w:val="18"/>
          <w:szCs w:val="20"/>
          <w:lang w:val="es-ES"/>
        </w:rPr>
        <w:t>malos entendidos</w:t>
      </w:r>
      <w:proofErr w:type="gramEnd"/>
      <w:r>
        <w:rPr>
          <w:rFonts w:ascii="Arial" w:hAnsi="Arial" w:cs="Arial"/>
          <w:bCs/>
          <w:color w:val="808080" w:themeColor="background1" w:themeShade="80"/>
          <w:sz w:val="18"/>
          <w:szCs w:val="20"/>
          <w:lang w:val="es-ES"/>
        </w:rPr>
        <w:t xml:space="preserve"> que de ella se puedan derivar.</w:t>
      </w:r>
    </w:p>
    <w:p w14:paraId="11A71EAC" w14:textId="77777777" w:rsidR="00504B18" w:rsidRPr="000616DB" w:rsidRDefault="00504B18" w:rsidP="00DA0AEF">
      <w:pPr>
        <w:spacing w:after="0"/>
        <w:rPr>
          <w:rFonts w:ascii="Arial" w:hAnsi="Arial" w:cs="Arial"/>
          <w:b/>
          <w:sz w:val="18"/>
          <w:szCs w:val="20"/>
          <w:lang w:val="es-ES"/>
        </w:rPr>
      </w:pPr>
    </w:p>
    <w:p w14:paraId="4FF97575" w14:textId="77777777" w:rsidR="00504B18" w:rsidRDefault="00504B18" w:rsidP="00DA0AEF">
      <w:pPr>
        <w:spacing w:after="0"/>
        <w:rPr>
          <w:rFonts w:ascii="Arial" w:hAnsi="Arial" w:cs="Arial"/>
          <w:b/>
          <w:sz w:val="18"/>
          <w:szCs w:val="20"/>
          <w:lang w:val="es-ES_tradnl"/>
        </w:rPr>
      </w:pPr>
    </w:p>
    <w:p w14:paraId="301BECDC" w14:textId="4D18ABBF" w:rsidR="00F62C57" w:rsidRPr="00E06612" w:rsidRDefault="00F62C57" w:rsidP="00F62C57">
      <w:pPr>
        <w:spacing w:after="0"/>
        <w:rPr>
          <w:rFonts w:ascii="Arial" w:hAnsi="Arial" w:cs="Arial"/>
          <w:b/>
          <w:color w:val="808080" w:themeColor="background1" w:themeShade="80"/>
          <w:sz w:val="16"/>
          <w:szCs w:val="16"/>
          <w:lang w:val="pt-PT"/>
        </w:rPr>
      </w:pPr>
      <w:r w:rsidRPr="00E06612">
        <w:rPr>
          <w:rFonts w:ascii="Arial" w:hAnsi="Arial" w:cs="Arial"/>
          <w:b/>
          <w:color w:val="808080" w:themeColor="background1" w:themeShade="80"/>
          <w:sz w:val="16"/>
          <w:szCs w:val="16"/>
          <w:lang w:val="pt-PT"/>
        </w:rPr>
        <w:t>© Copyright/</w:t>
      </w:r>
      <w:proofErr w:type="spellStart"/>
      <w:r w:rsidRPr="00E06612">
        <w:rPr>
          <w:rFonts w:ascii="Arial" w:hAnsi="Arial" w:cs="Arial"/>
          <w:b/>
          <w:color w:val="808080" w:themeColor="background1" w:themeShade="80"/>
          <w:sz w:val="16"/>
          <w:szCs w:val="16"/>
          <w:lang w:val="pt-PT"/>
        </w:rPr>
        <w:t>D</w:t>
      </w:r>
      <w:r w:rsidR="00EE5C31">
        <w:rPr>
          <w:rFonts w:ascii="Arial" w:hAnsi="Arial" w:cs="Arial"/>
          <w:b/>
          <w:color w:val="808080" w:themeColor="background1" w:themeShade="80"/>
          <w:sz w:val="16"/>
          <w:szCs w:val="16"/>
          <w:lang w:val="pt-PT"/>
        </w:rPr>
        <w:t>erechos</w:t>
      </w:r>
      <w:proofErr w:type="spellEnd"/>
      <w:r w:rsidRPr="00E06612">
        <w:rPr>
          <w:rFonts w:ascii="Arial" w:hAnsi="Arial" w:cs="Arial"/>
          <w:b/>
          <w:color w:val="808080" w:themeColor="background1" w:themeShade="80"/>
          <w:sz w:val="16"/>
          <w:szCs w:val="16"/>
          <w:lang w:val="pt-PT"/>
        </w:rPr>
        <w:t xml:space="preserve"> de Autor </w:t>
      </w:r>
      <w:r w:rsidR="006A2C8F" w:rsidRPr="00E06612">
        <w:rPr>
          <w:rFonts w:ascii="Arial" w:hAnsi="Arial" w:cs="Arial"/>
          <w:b/>
          <w:color w:val="808080" w:themeColor="background1" w:themeShade="80"/>
          <w:sz w:val="16"/>
          <w:szCs w:val="16"/>
          <w:lang w:val="pt-PT"/>
        </w:rPr>
        <w:t>20</w:t>
      </w:r>
      <w:r w:rsidR="006A2C8F">
        <w:rPr>
          <w:rFonts w:ascii="Arial" w:hAnsi="Arial" w:cs="Arial"/>
          <w:b/>
          <w:color w:val="808080" w:themeColor="background1" w:themeShade="80"/>
          <w:sz w:val="16"/>
          <w:szCs w:val="16"/>
          <w:lang w:val="pt-PT"/>
        </w:rPr>
        <w:t>21</w:t>
      </w:r>
    </w:p>
    <w:p w14:paraId="3A5A8838" w14:textId="77777777" w:rsidR="00F62C57" w:rsidRPr="00E06612" w:rsidRDefault="00F62C57" w:rsidP="00F62C57">
      <w:pPr>
        <w:spacing w:after="0"/>
        <w:rPr>
          <w:rFonts w:ascii="Arial" w:hAnsi="Arial" w:cs="Arial"/>
          <w:b/>
          <w:color w:val="808080" w:themeColor="background1" w:themeShade="80"/>
          <w:sz w:val="16"/>
          <w:szCs w:val="16"/>
          <w:lang w:val="pt-PT"/>
        </w:rPr>
        <w:sectPr w:rsidR="00F62C57" w:rsidRPr="00E06612" w:rsidSect="002E3600">
          <w:headerReference w:type="default" r:id="rId14"/>
          <w:footerReference w:type="default" r:id="rId15"/>
          <w:pgSz w:w="11906" w:h="16838"/>
          <w:pgMar w:top="2268" w:right="1418" w:bottom="1701" w:left="1418" w:header="0" w:footer="680" w:gutter="0"/>
          <w:cols w:space="708"/>
          <w:docGrid w:linePitch="360"/>
        </w:sectPr>
      </w:pPr>
      <w:r w:rsidRPr="00E06612">
        <w:rPr>
          <w:rFonts w:ascii="Arial" w:hAnsi="Arial" w:cs="Arial"/>
          <w:b/>
          <w:color w:val="808080" w:themeColor="background1" w:themeShade="80"/>
          <w:sz w:val="16"/>
          <w:szCs w:val="16"/>
          <w:lang w:val="pt-PT"/>
        </w:rPr>
        <w:t>OMIP –</w:t>
      </w:r>
      <w:r w:rsidR="00D80C9C">
        <w:rPr>
          <w:rFonts w:ascii="Arial" w:hAnsi="Arial" w:cs="Arial"/>
          <w:b/>
          <w:color w:val="808080" w:themeColor="background1" w:themeShade="80"/>
          <w:sz w:val="16"/>
          <w:szCs w:val="16"/>
          <w:lang w:val="pt-PT"/>
        </w:rPr>
        <w:t xml:space="preserve"> </w:t>
      </w:r>
      <w:r w:rsidR="00AC6AD7">
        <w:rPr>
          <w:rFonts w:ascii="Arial" w:hAnsi="Arial" w:cs="Arial"/>
          <w:b/>
          <w:color w:val="808080" w:themeColor="background1" w:themeShade="80"/>
          <w:sz w:val="16"/>
          <w:szCs w:val="16"/>
          <w:lang w:val="pt-PT"/>
        </w:rPr>
        <w:t xml:space="preserve">Pólo Português, S.G.M.R., </w:t>
      </w:r>
      <w:proofErr w:type="gramStart"/>
      <w:r w:rsidR="00AC6AD7">
        <w:rPr>
          <w:rFonts w:ascii="Arial" w:hAnsi="Arial" w:cs="Arial"/>
          <w:b/>
          <w:color w:val="808080" w:themeColor="background1" w:themeShade="80"/>
          <w:sz w:val="16"/>
          <w:szCs w:val="16"/>
          <w:lang w:val="pt-PT"/>
        </w:rPr>
        <w:t>S.A</w:t>
      </w:r>
      <w:proofErr w:type="gramEnd"/>
    </w:p>
    <w:p w14:paraId="3E288D15" w14:textId="77777777" w:rsidR="00F93A07" w:rsidRPr="00B87C63" w:rsidRDefault="0012517E" w:rsidP="00A043AC">
      <w:pPr>
        <w:tabs>
          <w:tab w:val="left" w:pos="3500"/>
        </w:tabs>
        <w:spacing w:before="60" w:after="60"/>
        <w:jc w:val="both"/>
        <w:rPr>
          <w:rFonts w:ascii="Arial" w:hAnsi="Arial" w:cs="Arial"/>
          <w:sz w:val="20"/>
          <w:szCs w:val="20"/>
          <w:lang w:val="es-ES_tradnl"/>
        </w:rPr>
      </w:pPr>
      <w:r w:rsidRPr="0012517E">
        <w:rPr>
          <w:rFonts w:ascii="Arial" w:hAnsi="Arial" w:cs="Arial"/>
          <w:sz w:val="20"/>
          <w:szCs w:val="20"/>
          <w:lang w:val="es-ES_tradnl"/>
        </w:rPr>
        <w:lastRenderedPageBreak/>
        <w:t xml:space="preserve">Al amparo de lo dispuesto en los </w:t>
      </w:r>
      <w:r w:rsidRPr="0012517E">
        <w:rPr>
          <w:rFonts w:ascii="Arial" w:hAnsi="Arial" w:cs="Arial"/>
          <w:b/>
          <w:sz w:val="20"/>
          <w:szCs w:val="20"/>
          <w:lang w:val="es-ES_tradnl"/>
        </w:rPr>
        <w:t>artículos 3 y 37 del Reglamento de Negociación</w:t>
      </w:r>
      <w:r w:rsidRPr="0012517E">
        <w:rPr>
          <w:rFonts w:ascii="Arial" w:hAnsi="Arial" w:cs="Arial"/>
          <w:sz w:val="20"/>
          <w:szCs w:val="20"/>
          <w:lang w:val="es-ES_tradnl"/>
        </w:rPr>
        <w:t>, OMIP aprueba las presentes Cláusulas Contractuales Generales de los Contratos de Futuros MIBEL PTEL Base Financieros.</w:t>
      </w:r>
    </w:p>
    <w:p w14:paraId="34B93612" w14:textId="77777777" w:rsidR="00A043AC" w:rsidRDefault="00A043AC" w:rsidP="00CF5FED">
      <w:pPr>
        <w:spacing w:before="60" w:after="60"/>
        <w:jc w:val="both"/>
        <w:rPr>
          <w:rFonts w:ascii="Arial" w:hAnsi="Arial" w:cs="Arial"/>
          <w:sz w:val="20"/>
          <w:szCs w:val="20"/>
          <w:lang w:val="es-ES_tradnl"/>
        </w:rPr>
      </w:pPr>
    </w:p>
    <w:p w14:paraId="405C2968" w14:textId="77777777" w:rsidR="0012517E" w:rsidRPr="0012517E" w:rsidRDefault="0012517E" w:rsidP="0012517E">
      <w:pPr>
        <w:spacing w:before="60" w:after="60"/>
        <w:jc w:val="both"/>
        <w:rPr>
          <w:rFonts w:ascii="Arial" w:hAnsi="Arial" w:cs="Arial"/>
          <w:b/>
          <w:color w:val="92D050"/>
          <w:sz w:val="20"/>
          <w:szCs w:val="28"/>
          <w:lang w:val="es-ES_tradnl"/>
        </w:rPr>
      </w:pPr>
      <w:r w:rsidRPr="0012517E">
        <w:rPr>
          <w:rFonts w:ascii="Arial" w:hAnsi="Arial" w:cs="Arial"/>
          <w:b/>
          <w:color w:val="92D050"/>
          <w:sz w:val="20"/>
          <w:szCs w:val="28"/>
          <w:lang w:val="es-ES_tradnl"/>
        </w:rPr>
        <w:t>Cláusula 1ª – Ámbito de aplicación</w:t>
      </w:r>
    </w:p>
    <w:p w14:paraId="2AAD3E98" w14:textId="77777777" w:rsidR="0012517E" w:rsidRPr="0012517E" w:rsidRDefault="0012517E" w:rsidP="0012517E">
      <w:pPr>
        <w:spacing w:before="60" w:after="60"/>
        <w:jc w:val="both"/>
        <w:rPr>
          <w:rFonts w:ascii="Arial" w:hAnsi="Arial" w:cs="Arial"/>
          <w:sz w:val="20"/>
          <w:szCs w:val="20"/>
          <w:lang w:val="es-ES_tradnl"/>
        </w:rPr>
      </w:pPr>
      <w:r w:rsidRPr="0012517E">
        <w:rPr>
          <w:rFonts w:ascii="Arial" w:hAnsi="Arial" w:cs="Arial"/>
          <w:sz w:val="20"/>
          <w:szCs w:val="20"/>
          <w:lang w:val="es-ES_tradnl"/>
        </w:rPr>
        <w:t xml:space="preserve">Las presentes Cláusulas Contractuales Generales definen el contenido </w:t>
      </w:r>
      <w:r w:rsidR="00B75BAD">
        <w:rPr>
          <w:rFonts w:ascii="Arial" w:hAnsi="Arial" w:cs="Arial"/>
          <w:sz w:val="20"/>
          <w:szCs w:val="20"/>
          <w:lang w:val="es-ES_tradnl"/>
        </w:rPr>
        <w:t xml:space="preserve">contractual </w:t>
      </w:r>
      <w:r w:rsidRPr="0012517E">
        <w:rPr>
          <w:rFonts w:ascii="Arial" w:hAnsi="Arial" w:cs="Arial"/>
          <w:sz w:val="20"/>
          <w:szCs w:val="20"/>
          <w:lang w:val="es-ES_tradnl"/>
        </w:rPr>
        <w:t>de las Operaciones de los siguientes Contratos negociados en el Mercado:</w:t>
      </w:r>
    </w:p>
    <w:p w14:paraId="53470F74" w14:textId="77777777" w:rsidR="009F7D08" w:rsidRPr="009F7D08" w:rsidRDefault="009F7D08" w:rsidP="009F7D08">
      <w:pPr>
        <w:pStyle w:val="PargrafodaLista"/>
        <w:numPr>
          <w:ilvl w:val="1"/>
          <w:numId w:val="12"/>
        </w:numPr>
        <w:spacing w:before="60" w:after="60"/>
        <w:ind w:left="567" w:hanging="283"/>
        <w:jc w:val="both"/>
        <w:rPr>
          <w:rFonts w:ascii="Arial" w:hAnsi="Arial" w:cs="Arial"/>
          <w:sz w:val="20"/>
          <w:szCs w:val="20"/>
          <w:lang w:val="es-ES_tradnl"/>
        </w:rPr>
      </w:pPr>
      <w:r w:rsidRPr="009F7D08">
        <w:rPr>
          <w:rFonts w:ascii="Arial" w:hAnsi="Arial" w:cs="Arial"/>
          <w:sz w:val="20"/>
          <w:szCs w:val="20"/>
          <w:lang w:val="es-ES_tradnl"/>
        </w:rPr>
        <w:t>Futuros MIBEL PTEL Base Financieros Día;</w:t>
      </w:r>
    </w:p>
    <w:p w14:paraId="6828C4DB" w14:textId="77777777" w:rsidR="009F7D08" w:rsidRPr="009F7D08" w:rsidRDefault="009F7D08" w:rsidP="009F7D08">
      <w:pPr>
        <w:pStyle w:val="PargrafodaLista"/>
        <w:numPr>
          <w:ilvl w:val="0"/>
          <w:numId w:val="12"/>
        </w:numPr>
        <w:spacing w:before="60" w:after="60"/>
        <w:ind w:left="567" w:hanging="283"/>
        <w:jc w:val="both"/>
        <w:rPr>
          <w:rFonts w:ascii="Arial" w:hAnsi="Arial" w:cs="Arial"/>
          <w:sz w:val="20"/>
          <w:szCs w:val="20"/>
          <w:lang w:val="es-ES_tradnl"/>
        </w:rPr>
      </w:pPr>
      <w:r w:rsidRPr="009F7D08">
        <w:rPr>
          <w:rFonts w:ascii="Arial" w:hAnsi="Arial" w:cs="Arial"/>
          <w:sz w:val="20"/>
          <w:szCs w:val="20"/>
          <w:lang w:val="es-ES_tradnl"/>
        </w:rPr>
        <w:t>Futuros MIBEL PTEL Base Financieros Fin</w:t>
      </w:r>
      <w:r w:rsidR="00D36448">
        <w:rPr>
          <w:rFonts w:ascii="Arial" w:hAnsi="Arial" w:cs="Arial"/>
          <w:sz w:val="20"/>
          <w:szCs w:val="20"/>
          <w:lang w:val="es-ES_tradnl"/>
        </w:rPr>
        <w:t xml:space="preserve"> de </w:t>
      </w:r>
      <w:r w:rsidRPr="009F7D08">
        <w:rPr>
          <w:rFonts w:ascii="Arial" w:hAnsi="Arial" w:cs="Arial"/>
          <w:sz w:val="20"/>
          <w:szCs w:val="20"/>
          <w:lang w:val="es-ES_tradnl"/>
        </w:rPr>
        <w:t>Semana;</w:t>
      </w:r>
    </w:p>
    <w:p w14:paraId="7F14FF17" w14:textId="77777777" w:rsidR="0012517E" w:rsidRPr="009F7D08" w:rsidRDefault="0012517E" w:rsidP="009F7D08">
      <w:pPr>
        <w:pStyle w:val="PargrafodaLista"/>
        <w:numPr>
          <w:ilvl w:val="0"/>
          <w:numId w:val="12"/>
        </w:numPr>
        <w:spacing w:before="60" w:after="60"/>
        <w:ind w:left="567" w:hanging="283"/>
        <w:jc w:val="both"/>
        <w:rPr>
          <w:rFonts w:ascii="Arial" w:hAnsi="Arial" w:cs="Arial"/>
          <w:sz w:val="20"/>
          <w:szCs w:val="20"/>
          <w:lang w:val="es-ES_tradnl"/>
        </w:rPr>
      </w:pPr>
      <w:r w:rsidRPr="009F7D08">
        <w:rPr>
          <w:rFonts w:ascii="Arial" w:hAnsi="Arial" w:cs="Arial"/>
          <w:sz w:val="20"/>
          <w:szCs w:val="20"/>
          <w:lang w:val="es-ES_tradnl"/>
        </w:rPr>
        <w:t>Futuros MIBEL PTEL Base Financieros Semana</w:t>
      </w:r>
      <w:r w:rsidR="009F7D08">
        <w:rPr>
          <w:rFonts w:ascii="Arial" w:hAnsi="Arial" w:cs="Arial"/>
          <w:sz w:val="20"/>
          <w:szCs w:val="20"/>
          <w:lang w:val="es-ES_tradnl"/>
        </w:rPr>
        <w:t>;</w:t>
      </w:r>
    </w:p>
    <w:p w14:paraId="638B0705" w14:textId="77777777" w:rsidR="0012517E" w:rsidRPr="0012517E" w:rsidRDefault="0012517E" w:rsidP="009F7D08">
      <w:pPr>
        <w:pStyle w:val="PargrafodaLista"/>
        <w:numPr>
          <w:ilvl w:val="0"/>
          <w:numId w:val="12"/>
        </w:numPr>
        <w:spacing w:before="60" w:after="60"/>
        <w:ind w:left="567" w:hanging="283"/>
        <w:jc w:val="both"/>
        <w:rPr>
          <w:rFonts w:ascii="Arial" w:hAnsi="Arial" w:cs="Arial"/>
          <w:sz w:val="20"/>
          <w:szCs w:val="20"/>
          <w:lang w:val="es-ES_tradnl"/>
        </w:rPr>
      </w:pPr>
      <w:r w:rsidRPr="0012517E">
        <w:rPr>
          <w:rFonts w:ascii="Arial" w:hAnsi="Arial" w:cs="Arial"/>
          <w:sz w:val="20"/>
          <w:szCs w:val="20"/>
          <w:lang w:val="es-ES_tradnl"/>
        </w:rPr>
        <w:t>Futuros MIBEL PTEL Base Financieros Mes</w:t>
      </w:r>
      <w:r w:rsidR="009F7D08">
        <w:rPr>
          <w:rFonts w:ascii="Arial" w:hAnsi="Arial" w:cs="Arial"/>
          <w:sz w:val="20"/>
          <w:szCs w:val="20"/>
          <w:lang w:val="es-ES_tradnl"/>
        </w:rPr>
        <w:t>;</w:t>
      </w:r>
    </w:p>
    <w:p w14:paraId="679939C8" w14:textId="77777777" w:rsidR="0012517E" w:rsidRPr="0012517E" w:rsidRDefault="0012517E" w:rsidP="009F7D08">
      <w:pPr>
        <w:pStyle w:val="PargrafodaLista"/>
        <w:numPr>
          <w:ilvl w:val="0"/>
          <w:numId w:val="12"/>
        </w:numPr>
        <w:spacing w:before="60" w:after="60"/>
        <w:ind w:left="567" w:hanging="283"/>
        <w:jc w:val="both"/>
        <w:rPr>
          <w:rFonts w:ascii="Arial" w:hAnsi="Arial" w:cs="Arial"/>
          <w:sz w:val="20"/>
          <w:szCs w:val="20"/>
          <w:lang w:val="es-ES_tradnl"/>
        </w:rPr>
      </w:pPr>
      <w:r w:rsidRPr="0012517E">
        <w:rPr>
          <w:rFonts w:ascii="Arial" w:hAnsi="Arial" w:cs="Arial"/>
          <w:sz w:val="20"/>
          <w:szCs w:val="20"/>
          <w:lang w:val="es-ES_tradnl"/>
        </w:rPr>
        <w:t>Futuros MIBEL PTEL Base Financieros Trimestre</w:t>
      </w:r>
      <w:r w:rsidR="009F7D08">
        <w:rPr>
          <w:rFonts w:ascii="Arial" w:hAnsi="Arial" w:cs="Arial"/>
          <w:sz w:val="20"/>
          <w:szCs w:val="20"/>
          <w:lang w:val="es-ES_tradnl"/>
        </w:rPr>
        <w:t>;</w:t>
      </w:r>
    </w:p>
    <w:p w14:paraId="7C4AAE3B" w14:textId="77777777" w:rsidR="0012517E" w:rsidRPr="0012517E" w:rsidRDefault="0012517E" w:rsidP="009F7D08">
      <w:pPr>
        <w:pStyle w:val="PargrafodaLista"/>
        <w:numPr>
          <w:ilvl w:val="0"/>
          <w:numId w:val="12"/>
        </w:numPr>
        <w:spacing w:before="60" w:after="60"/>
        <w:ind w:left="567" w:hanging="283"/>
        <w:jc w:val="both"/>
        <w:rPr>
          <w:rFonts w:ascii="Arial" w:hAnsi="Arial" w:cs="Arial"/>
          <w:sz w:val="20"/>
          <w:szCs w:val="20"/>
          <w:lang w:val="es-ES_tradnl"/>
        </w:rPr>
      </w:pPr>
      <w:r w:rsidRPr="0012517E">
        <w:rPr>
          <w:rFonts w:ascii="Arial" w:hAnsi="Arial" w:cs="Arial"/>
          <w:sz w:val="20"/>
          <w:szCs w:val="20"/>
          <w:lang w:val="es-ES_tradnl"/>
        </w:rPr>
        <w:t>Futuros MIBEL PTEL Base Financieros Año</w:t>
      </w:r>
      <w:r w:rsidR="009F7D08">
        <w:rPr>
          <w:rFonts w:ascii="Arial" w:hAnsi="Arial" w:cs="Arial"/>
          <w:sz w:val="20"/>
          <w:szCs w:val="20"/>
          <w:lang w:val="es-ES_tradnl"/>
        </w:rPr>
        <w:t>.</w:t>
      </w:r>
    </w:p>
    <w:p w14:paraId="580B01F2" w14:textId="77777777" w:rsidR="0012517E" w:rsidRDefault="0012517E" w:rsidP="00CF5FED">
      <w:pPr>
        <w:spacing w:before="60" w:after="60"/>
        <w:jc w:val="both"/>
        <w:rPr>
          <w:rFonts w:ascii="Arial" w:hAnsi="Arial" w:cs="Arial"/>
          <w:sz w:val="20"/>
          <w:szCs w:val="20"/>
          <w:lang w:val="es-ES_tradnl"/>
        </w:rPr>
      </w:pPr>
    </w:p>
    <w:p w14:paraId="39568C23" w14:textId="77777777" w:rsidR="0012517E" w:rsidRPr="0012517E" w:rsidRDefault="0012517E" w:rsidP="0012517E">
      <w:pPr>
        <w:spacing w:before="60" w:after="60"/>
        <w:jc w:val="both"/>
        <w:rPr>
          <w:rFonts w:ascii="Arial" w:hAnsi="Arial" w:cs="Arial"/>
          <w:b/>
          <w:color w:val="92D050"/>
          <w:sz w:val="20"/>
          <w:szCs w:val="28"/>
          <w:lang w:val="es-ES_tradnl"/>
        </w:rPr>
      </w:pPr>
      <w:r w:rsidRPr="0012517E">
        <w:rPr>
          <w:rFonts w:ascii="Arial" w:hAnsi="Arial" w:cs="Arial"/>
          <w:b/>
          <w:color w:val="92D050"/>
          <w:sz w:val="20"/>
          <w:szCs w:val="28"/>
          <w:lang w:val="es-ES_tradnl"/>
        </w:rPr>
        <w:t>Cláusula 2ª – Activo Subyacente</w:t>
      </w:r>
    </w:p>
    <w:p w14:paraId="484AF1C8" w14:textId="77777777" w:rsidR="0012517E" w:rsidRPr="0012517E" w:rsidRDefault="0012517E" w:rsidP="0012517E">
      <w:pPr>
        <w:pStyle w:val="PargrafodaLista"/>
        <w:spacing w:before="60" w:after="60"/>
        <w:ind w:left="426" w:hanging="426"/>
        <w:contextualSpacing w:val="0"/>
        <w:jc w:val="both"/>
        <w:rPr>
          <w:rFonts w:ascii="Arial" w:hAnsi="Arial" w:cs="Arial"/>
          <w:sz w:val="20"/>
          <w:szCs w:val="20"/>
          <w:lang w:val="es-ES_tradnl"/>
        </w:rPr>
      </w:pPr>
      <w:r w:rsidRPr="0012517E">
        <w:rPr>
          <w:rFonts w:ascii="Arial" w:hAnsi="Arial" w:cs="Arial"/>
          <w:sz w:val="20"/>
          <w:szCs w:val="20"/>
          <w:lang w:val="es-ES_tradnl"/>
        </w:rPr>
        <w:t>1.</w:t>
      </w:r>
      <w:r w:rsidRPr="0012517E">
        <w:rPr>
          <w:rFonts w:ascii="Arial" w:hAnsi="Arial" w:cs="Arial"/>
          <w:sz w:val="20"/>
          <w:szCs w:val="20"/>
          <w:lang w:val="es-ES_tradnl"/>
        </w:rPr>
        <w:tab/>
        <w:t>El Activo Subyacente de cada Contrato corresponde al suministro/recepción nocional de energía eléctrica a una potencia constante de 1 MW durante todas las horas del Período de Entrega.</w:t>
      </w:r>
    </w:p>
    <w:p w14:paraId="7E2A620A" w14:textId="77777777" w:rsidR="0012517E" w:rsidRDefault="0012517E" w:rsidP="0012517E">
      <w:pPr>
        <w:pStyle w:val="PargrafodaLista"/>
        <w:spacing w:before="60" w:after="60"/>
        <w:ind w:left="426" w:hanging="426"/>
        <w:contextualSpacing w:val="0"/>
        <w:jc w:val="both"/>
        <w:rPr>
          <w:rFonts w:ascii="Arial" w:hAnsi="Arial" w:cs="Arial"/>
          <w:sz w:val="20"/>
          <w:szCs w:val="20"/>
          <w:lang w:val="es-ES_tradnl"/>
        </w:rPr>
      </w:pPr>
      <w:r w:rsidRPr="0012517E">
        <w:rPr>
          <w:rFonts w:ascii="Arial" w:hAnsi="Arial" w:cs="Arial"/>
          <w:sz w:val="20"/>
          <w:szCs w:val="20"/>
          <w:lang w:val="es-ES_tradnl"/>
        </w:rPr>
        <w:t>2.</w:t>
      </w:r>
      <w:r w:rsidRPr="0012517E">
        <w:rPr>
          <w:rFonts w:ascii="Arial" w:hAnsi="Arial" w:cs="Arial"/>
          <w:sz w:val="20"/>
          <w:szCs w:val="20"/>
          <w:lang w:val="es-ES_tradnl"/>
        </w:rPr>
        <w:tab/>
        <w:t>Durante el Período de Entrega, el Activo Subyacente es valorado diariamente, tomando como base el Precio de Referencia Spot, con arreglo a lo definido en la Cláusula 1</w:t>
      </w:r>
      <w:r w:rsidR="009F7D08">
        <w:rPr>
          <w:rFonts w:ascii="Arial" w:hAnsi="Arial" w:cs="Arial"/>
          <w:sz w:val="20"/>
          <w:szCs w:val="20"/>
          <w:lang w:val="es-ES_tradnl"/>
        </w:rPr>
        <w:t>7</w:t>
      </w:r>
      <w:r w:rsidRPr="0012517E">
        <w:rPr>
          <w:rFonts w:ascii="Arial" w:hAnsi="Arial" w:cs="Arial"/>
          <w:sz w:val="20"/>
          <w:szCs w:val="20"/>
          <w:lang w:val="es-ES_tradnl"/>
        </w:rPr>
        <w:t>ª.</w:t>
      </w:r>
    </w:p>
    <w:p w14:paraId="3B001869" w14:textId="77777777" w:rsidR="001D6D89" w:rsidRDefault="001D6D89" w:rsidP="001D6D89">
      <w:pPr>
        <w:pStyle w:val="PargrafodaLista"/>
        <w:spacing w:before="60" w:after="60"/>
        <w:ind w:left="426" w:hanging="426"/>
        <w:contextualSpacing w:val="0"/>
        <w:jc w:val="both"/>
        <w:rPr>
          <w:rFonts w:ascii="Arial" w:hAnsi="Arial" w:cs="Arial"/>
          <w:sz w:val="20"/>
          <w:szCs w:val="20"/>
          <w:lang w:val="es-ES_tradnl"/>
        </w:rPr>
      </w:pPr>
    </w:p>
    <w:p w14:paraId="0DB55AE0" w14:textId="77777777" w:rsidR="0032459E" w:rsidRPr="0032459E" w:rsidRDefault="0032459E" w:rsidP="0032459E">
      <w:pPr>
        <w:spacing w:before="60" w:after="60"/>
        <w:jc w:val="both"/>
        <w:rPr>
          <w:rFonts w:ascii="Arial" w:hAnsi="Arial" w:cs="Arial"/>
          <w:b/>
          <w:color w:val="92D050"/>
          <w:sz w:val="20"/>
          <w:szCs w:val="28"/>
          <w:lang w:val="es-ES_tradnl"/>
        </w:rPr>
      </w:pPr>
      <w:r w:rsidRPr="0032459E">
        <w:rPr>
          <w:rFonts w:ascii="Arial" w:hAnsi="Arial" w:cs="Arial"/>
          <w:b/>
          <w:color w:val="92D050"/>
          <w:sz w:val="20"/>
          <w:szCs w:val="28"/>
          <w:lang w:val="es-ES_tradnl"/>
        </w:rPr>
        <w:t>Cláusula 3ª – Valor Nominal del contrato</w:t>
      </w:r>
    </w:p>
    <w:p w14:paraId="016BF7FB" w14:textId="77777777" w:rsidR="0012517E" w:rsidRDefault="0032459E" w:rsidP="0032459E">
      <w:pPr>
        <w:tabs>
          <w:tab w:val="left" w:pos="3500"/>
        </w:tabs>
        <w:spacing w:before="60" w:after="60"/>
        <w:jc w:val="both"/>
        <w:rPr>
          <w:rFonts w:ascii="Arial" w:hAnsi="Arial" w:cs="Arial"/>
          <w:sz w:val="20"/>
          <w:szCs w:val="20"/>
          <w:lang w:val="es-ES_tradnl"/>
        </w:rPr>
      </w:pPr>
      <w:r w:rsidRPr="0032459E">
        <w:rPr>
          <w:rFonts w:ascii="Arial" w:hAnsi="Arial" w:cs="Arial"/>
          <w:sz w:val="20"/>
          <w:szCs w:val="20"/>
          <w:lang w:val="es-ES_tradnl"/>
        </w:rPr>
        <w:t>La especificación de cada contrato Futuros MIBEL PTEL Base Financieros se basa en el calendario natural, por lo que el respectivo Valor Nominal depende del Período de Entrega subyacente al Contrato, conforme se detalla en las tablas siguientes.</w:t>
      </w:r>
    </w:p>
    <w:p w14:paraId="2614F8EE" w14:textId="77777777" w:rsidR="0032459E" w:rsidRDefault="0032459E" w:rsidP="0032459E">
      <w:pPr>
        <w:pStyle w:val="Corpodetexto"/>
        <w:spacing w:line="360" w:lineRule="auto"/>
        <w:rPr>
          <w:sz w:val="20"/>
          <w:szCs w:val="20"/>
          <w:lang w:val="es-ES"/>
        </w:rPr>
      </w:pPr>
    </w:p>
    <w:tbl>
      <w:tblPr>
        <w:tblW w:w="8415" w:type="dxa"/>
        <w:jc w:val="center"/>
        <w:tblLook w:val="0000" w:firstRow="0" w:lastRow="0" w:firstColumn="0" w:lastColumn="0" w:noHBand="0" w:noVBand="0"/>
      </w:tblPr>
      <w:tblGrid>
        <w:gridCol w:w="2895"/>
        <w:gridCol w:w="720"/>
        <w:gridCol w:w="1200"/>
        <w:gridCol w:w="3600"/>
      </w:tblGrid>
      <w:tr w:rsidR="009117F1" w:rsidRPr="009543BD" w14:paraId="6FAA9D03" w14:textId="77777777" w:rsidTr="00CD44EA">
        <w:trPr>
          <w:trHeight w:val="255"/>
          <w:jc w:val="center"/>
        </w:trPr>
        <w:tc>
          <w:tcPr>
            <w:tcW w:w="2895" w:type="dxa"/>
            <w:tcBorders>
              <w:bottom w:val="single" w:sz="4" w:space="0" w:color="999999"/>
            </w:tcBorders>
            <w:noWrap/>
            <w:vAlign w:val="center"/>
          </w:tcPr>
          <w:p w14:paraId="0D9E8467" w14:textId="77777777" w:rsidR="009117F1" w:rsidRPr="009543BD" w:rsidRDefault="009117F1" w:rsidP="00CD44EA">
            <w:pPr>
              <w:tabs>
                <w:tab w:val="left" w:pos="3500"/>
              </w:tabs>
              <w:spacing w:before="60" w:after="60"/>
              <w:rPr>
                <w:rFonts w:ascii="Arial" w:hAnsi="Arial" w:cs="Arial"/>
                <w:b/>
                <w:sz w:val="20"/>
                <w:szCs w:val="20"/>
              </w:rPr>
            </w:pPr>
            <w:proofErr w:type="spellStart"/>
            <w:r w:rsidRPr="009543BD">
              <w:rPr>
                <w:rFonts w:ascii="Arial" w:hAnsi="Arial" w:cs="Arial"/>
                <w:b/>
                <w:sz w:val="20"/>
                <w:szCs w:val="20"/>
              </w:rPr>
              <w:t>Contratos</w:t>
            </w:r>
            <w:proofErr w:type="spellEnd"/>
            <w:r w:rsidRPr="009543BD">
              <w:rPr>
                <w:rFonts w:ascii="Arial" w:hAnsi="Arial" w:cs="Arial"/>
                <w:b/>
                <w:sz w:val="20"/>
                <w:szCs w:val="20"/>
              </w:rPr>
              <w:t xml:space="preserve"> Día</w:t>
            </w:r>
          </w:p>
        </w:tc>
        <w:tc>
          <w:tcPr>
            <w:tcW w:w="720" w:type="dxa"/>
            <w:tcBorders>
              <w:bottom w:val="single" w:sz="4" w:space="0" w:color="999999"/>
            </w:tcBorders>
            <w:noWrap/>
            <w:vAlign w:val="center"/>
          </w:tcPr>
          <w:p w14:paraId="154A1C67" w14:textId="77777777" w:rsidR="009117F1" w:rsidRPr="009543BD" w:rsidRDefault="009117F1" w:rsidP="00CD44EA">
            <w:pPr>
              <w:tabs>
                <w:tab w:val="left" w:pos="3500"/>
              </w:tabs>
              <w:spacing w:before="60" w:after="60"/>
              <w:jc w:val="center"/>
              <w:rPr>
                <w:rFonts w:ascii="Arial" w:hAnsi="Arial" w:cs="Arial"/>
                <w:b/>
                <w:sz w:val="20"/>
                <w:szCs w:val="20"/>
              </w:rPr>
            </w:pPr>
            <w:r w:rsidRPr="009543BD">
              <w:rPr>
                <w:rFonts w:ascii="Arial" w:hAnsi="Arial" w:cs="Arial"/>
                <w:b/>
                <w:sz w:val="20"/>
                <w:szCs w:val="20"/>
              </w:rPr>
              <w:t>Días</w:t>
            </w:r>
          </w:p>
        </w:tc>
        <w:tc>
          <w:tcPr>
            <w:tcW w:w="1200" w:type="dxa"/>
            <w:tcBorders>
              <w:bottom w:val="single" w:sz="4" w:space="0" w:color="999999"/>
            </w:tcBorders>
            <w:noWrap/>
            <w:vAlign w:val="center"/>
          </w:tcPr>
          <w:p w14:paraId="5730675B" w14:textId="77777777" w:rsidR="009117F1" w:rsidRPr="009543BD" w:rsidRDefault="009117F1" w:rsidP="00CD44EA">
            <w:pPr>
              <w:tabs>
                <w:tab w:val="left" w:pos="3500"/>
              </w:tabs>
              <w:spacing w:before="60" w:after="60"/>
              <w:jc w:val="center"/>
              <w:rPr>
                <w:rFonts w:ascii="Arial" w:hAnsi="Arial" w:cs="Arial"/>
                <w:b/>
                <w:sz w:val="20"/>
                <w:szCs w:val="20"/>
              </w:rPr>
            </w:pPr>
            <w:proofErr w:type="spellStart"/>
            <w:r w:rsidRPr="009543BD">
              <w:rPr>
                <w:rFonts w:ascii="Arial" w:hAnsi="Arial" w:cs="Arial"/>
                <w:b/>
                <w:sz w:val="20"/>
                <w:szCs w:val="20"/>
              </w:rPr>
              <w:t>Valor</w:t>
            </w:r>
            <w:proofErr w:type="spellEnd"/>
            <w:r w:rsidRPr="009543BD">
              <w:rPr>
                <w:rFonts w:ascii="Arial" w:hAnsi="Arial" w:cs="Arial"/>
                <w:b/>
                <w:sz w:val="20"/>
                <w:szCs w:val="20"/>
              </w:rPr>
              <w:t xml:space="preserve"> Nominal (MWh)</w:t>
            </w:r>
          </w:p>
        </w:tc>
        <w:tc>
          <w:tcPr>
            <w:tcW w:w="3600" w:type="dxa"/>
            <w:tcBorders>
              <w:bottom w:val="single" w:sz="4" w:space="0" w:color="999999"/>
            </w:tcBorders>
            <w:vAlign w:val="center"/>
          </w:tcPr>
          <w:p w14:paraId="76F9FEA3" w14:textId="77777777" w:rsidR="009117F1" w:rsidRPr="009543BD" w:rsidRDefault="009117F1" w:rsidP="00CD44EA">
            <w:pPr>
              <w:tabs>
                <w:tab w:val="left" w:pos="3500"/>
              </w:tabs>
              <w:spacing w:before="60" w:after="60"/>
              <w:jc w:val="center"/>
              <w:rPr>
                <w:rFonts w:ascii="Arial" w:hAnsi="Arial" w:cs="Arial"/>
                <w:b/>
                <w:sz w:val="20"/>
                <w:szCs w:val="20"/>
              </w:rPr>
            </w:pPr>
            <w:proofErr w:type="spellStart"/>
            <w:r w:rsidRPr="009543BD">
              <w:rPr>
                <w:rFonts w:ascii="Arial" w:hAnsi="Arial" w:cs="Arial"/>
                <w:b/>
                <w:sz w:val="20"/>
                <w:szCs w:val="20"/>
              </w:rPr>
              <w:t>Descripción</w:t>
            </w:r>
            <w:proofErr w:type="spellEnd"/>
          </w:p>
        </w:tc>
      </w:tr>
      <w:tr w:rsidR="009117F1" w:rsidRPr="00DA7040" w14:paraId="1A033849" w14:textId="77777777" w:rsidTr="00CD44EA">
        <w:trPr>
          <w:trHeight w:val="255"/>
          <w:jc w:val="center"/>
        </w:trPr>
        <w:tc>
          <w:tcPr>
            <w:tcW w:w="2895" w:type="dxa"/>
            <w:tcBorders>
              <w:top w:val="single" w:sz="4" w:space="0" w:color="999999"/>
              <w:bottom w:val="single" w:sz="4" w:space="0" w:color="999999"/>
            </w:tcBorders>
            <w:noWrap/>
            <w:vAlign w:val="center"/>
          </w:tcPr>
          <w:p w14:paraId="7F566835" w14:textId="77777777" w:rsidR="009117F1" w:rsidRPr="009543BD" w:rsidRDefault="009117F1" w:rsidP="00CD44EA">
            <w:pPr>
              <w:tabs>
                <w:tab w:val="left" w:pos="3500"/>
              </w:tabs>
              <w:spacing w:before="60" w:after="60"/>
              <w:rPr>
                <w:rFonts w:ascii="Arial" w:hAnsi="Arial" w:cs="Arial"/>
                <w:sz w:val="20"/>
                <w:szCs w:val="20"/>
              </w:rPr>
            </w:pPr>
            <w:r w:rsidRPr="009543BD">
              <w:rPr>
                <w:rFonts w:ascii="Arial" w:hAnsi="Arial" w:cs="Arial"/>
                <w:sz w:val="20"/>
                <w:szCs w:val="20"/>
              </w:rPr>
              <w:t xml:space="preserve">Día </w:t>
            </w:r>
            <w:proofErr w:type="spellStart"/>
            <w:r w:rsidRPr="009543BD">
              <w:rPr>
                <w:rFonts w:ascii="Arial" w:hAnsi="Arial" w:cs="Arial"/>
                <w:sz w:val="20"/>
                <w:szCs w:val="20"/>
              </w:rPr>
              <w:t>corriente</w:t>
            </w:r>
            <w:proofErr w:type="spellEnd"/>
          </w:p>
        </w:tc>
        <w:tc>
          <w:tcPr>
            <w:tcW w:w="720" w:type="dxa"/>
            <w:tcBorders>
              <w:top w:val="single" w:sz="4" w:space="0" w:color="999999"/>
              <w:bottom w:val="single" w:sz="4" w:space="0" w:color="999999"/>
            </w:tcBorders>
            <w:noWrap/>
            <w:vAlign w:val="center"/>
          </w:tcPr>
          <w:p w14:paraId="30E8BDA7"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1</w:t>
            </w:r>
          </w:p>
        </w:tc>
        <w:tc>
          <w:tcPr>
            <w:tcW w:w="1200" w:type="dxa"/>
            <w:tcBorders>
              <w:top w:val="single" w:sz="4" w:space="0" w:color="999999"/>
              <w:bottom w:val="single" w:sz="4" w:space="0" w:color="999999"/>
            </w:tcBorders>
            <w:noWrap/>
            <w:vAlign w:val="center"/>
          </w:tcPr>
          <w:p w14:paraId="6BC08802"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24</w:t>
            </w:r>
          </w:p>
        </w:tc>
        <w:tc>
          <w:tcPr>
            <w:tcW w:w="3600" w:type="dxa"/>
            <w:tcBorders>
              <w:top w:val="single" w:sz="4" w:space="0" w:color="999999"/>
              <w:bottom w:val="single" w:sz="4" w:space="0" w:color="999999"/>
            </w:tcBorders>
            <w:vAlign w:val="center"/>
          </w:tcPr>
          <w:p w14:paraId="542E947C"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24 MWh</w:t>
            </w:r>
          </w:p>
        </w:tc>
      </w:tr>
      <w:tr w:rsidR="009117F1" w:rsidRPr="00DA7040" w14:paraId="61BD966B" w14:textId="77777777" w:rsidTr="00CD44EA">
        <w:trPr>
          <w:trHeight w:val="255"/>
          <w:jc w:val="center"/>
        </w:trPr>
        <w:tc>
          <w:tcPr>
            <w:tcW w:w="2895" w:type="dxa"/>
            <w:tcBorders>
              <w:top w:val="single" w:sz="4" w:space="0" w:color="999999"/>
              <w:bottom w:val="single" w:sz="4" w:space="0" w:color="999999"/>
            </w:tcBorders>
            <w:noWrap/>
            <w:vAlign w:val="center"/>
          </w:tcPr>
          <w:p w14:paraId="0892F6D4" w14:textId="77777777" w:rsidR="009117F1" w:rsidRPr="00DA3184" w:rsidRDefault="009117F1" w:rsidP="00CD44EA">
            <w:pPr>
              <w:tabs>
                <w:tab w:val="left" w:pos="3500"/>
              </w:tabs>
              <w:spacing w:before="60" w:after="60"/>
              <w:rPr>
                <w:rFonts w:ascii="Arial" w:hAnsi="Arial" w:cs="Arial"/>
                <w:sz w:val="20"/>
                <w:szCs w:val="20"/>
                <w:lang w:val="es-ES_tradnl"/>
              </w:rPr>
            </w:pPr>
            <w:r w:rsidRPr="00DA3184">
              <w:rPr>
                <w:rFonts w:ascii="Arial" w:hAnsi="Arial" w:cs="Arial"/>
                <w:sz w:val="20"/>
                <w:szCs w:val="20"/>
                <w:lang w:val="es-ES_tradnl"/>
              </w:rPr>
              <w:t>Domingo de marzo con cambio de hora*</w:t>
            </w:r>
          </w:p>
        </w:tc>
        <w:tc>
          <w:tcPr>
            <w:tcW w:w="720" w:type="dxa"/>
            <w:tcBorders>
              <w:top w:val="single" w:sz="4" w:space="0" w:color="999999"/>
              <w:bottom w:val="single" w:sz="4" w:space="0" w:color="999999"/>
            </w:tcBorders>
            <w:noWrap/>
            <w:vAlign w:val="center"/>
          </w:tcPr>
          <w:p w14:paraId="0913E03C"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1</w:t>
            </w:r>
          </w:p>
        </w:tc>
        <w:tc>
          <w:tcPr>
            <w:tcW w:w="1200" w:type="dxa"/>
            <w:tcBorders>
              <w:top w:val="single" w:sz="4" w:space="0" w:color="999999"/>
              <w:bottom w:val="single" w:sz="4" w:space="0" w:color="999999"/>
            </w:tcBorders>
            <w:noWrap/>
            <w:vAlign w:val="center"/>
          </w:tcPr>
          <w:p w14:paraId="5A8E20A2"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23</w:t>
            </w:r>
          </w:p>
        </w:tc>
        <w:tc>
          <w:tcPr>
            <w:tcW w:w="3600" w:type="dxa"/>
            <w:tcBorders>
              <w:top w:val="single" w:sz="4" w:space="0" w:color="999999"/>
              <w:bottom w:val="single" w:sz="4" w:space="0" w:color="999999"/>
            </w:tcBorders>
            <w:vAlign w:val="center"/>
          </w:tcPr>
          <w:p w14:paraId="1986C198"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23 MWh</w:t>
            </w:r>
          </w:p>
        </w:tc>
      </w:tr>
      <w:tr w:rsidR="009117F1" w:rsidRPr="00DA7040" w14:paraId="1379AB63" w14:textId="77777777" w:rsidTr="00CD44EA">
        <w:trPr>
          <w:trHeight w:val="255"/>
          <w:jc w:val="center"/>
        </w:trPr>
        <w:tc>
          <w:tcPr>
            <w:tcW w:w="2895" w:type="dxa"/>
            <w:tcBorders>
              <w:top w:val="single" w:sz="4" w:space="0" w:color="999999"/>
              <w:bottom w:val="single" w:sz="4" w:space="0" w:color="999999"/>
            </w:tcBorders>
            <w:noWrap/>
            <w:vAlign w:val="center"/>
          </w:tcPr>
          <w:p w14:paraId="41407B89" w14:textId="77777777" w:rsidR="009117F1" w:rsidRPr="00DA3184" w:rsidRDefault="009117F1" w:rsidP="00CD44EA">
            <w:pPr>
              <w:tabs>
                <w:tab w:val="left" w:pos="3500"/>
              </w:tabs>
              <w:spacing w:before="60" w:after="60"/>
              <w:rPr>
                <w:rFonts w:ascii="Arial" w:hAnsi="Arial" w:cs="Arial"/>
                <w:sz w:val="20"/>
                <w:szCs w:val="20"/>
                <w:lang w:val="es-ES_tradnl"/>
              </w:rPr>
            </w:pPr>
            <w:r w:rsidRPr="00DA3184">
              <w:rPr>
                <w:rFonts w:ascii="Arial" w:hAnsi="Arial" w:cs="Arial"/>
                <w:sz w:val="20"/>
                <w:szCs w:val="20"/>
                <w:lang w:val="es-ES_tradnl"/>
              </w:rPr>
              <w:t>Domingo de octubre con cambio de hora*</w:t>
            </w:r>
          </w:p>
        </w:tc>
        <w:tc>
          <w:tcPr>
            <w:tcW w:w="720" w:type="dxa"/>
            <w:tcBorders>
              <w:top w:val="single" w:sz="4" w:space="0" w:color="999999"/>
              <w:bottom w:val="single" w:sz="4" w:space="0" w:color="999999"/>
            </w:tcBorders>
            <w:noWrap/>
            <w:vAlign w:val="center"/>
          </w:tcPr>
          <w:p w14:paraId="61D0097D"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1</w:t>
            </w:r>
          </w:p>
        </w:tc>
        <w:tc>
          <w:tcPr>
            <w:tcW w:w="1200" w:type="dxa"/>
            <w:tcBorders>
              <w:top w:val="single" w:sz="4" w:space="0" w:color="999999"/>
              <w:bottom w:val="single" w:sz="4" w:space="0" w:color="999999"/>
            </w:tcBorders>
            <w:noWrap/>
            <w:vAlign w:val="center"/>
          </w:tcPr>
          <w:p w14:paraId="0508EEA2"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25</w:t>
            </w:r>
          </w:p>
        </w:tc>
        <w:tc>
          <w:tcPr>
            <w:tcW w:w="3600" w:type="dxa"/>
            <w:tcBorders>
              <w:top w:val="single" w:sz="4" w:space="0" w:color="999999"/>
              <w:bottom w:val="single" w:sz="4" w:space="0" w:color="999999"/>
            </w:tcBorders>
            <w:vAlign w:val="center"/>
          </w:tcPr>
          <w:p w14:paraId="42B777BF"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25 MWh</w:t>
            </w:r>
          </w:p>
        </w:tc>
      </w:tr>
    </w:tbl>
    <w:p w14:paraId="3DB0B601" w14:textId="77777777" w:rsidR="009117F1" w:rsidRPr="00DA7040" w:rsidRDefault="009117F1" w:rsidP="009117F1">
      <w:pPr>
        <w:pStyle w:val="Corpodetexto"/>
        <w:spacing w:before="60"/>
        <w:ind w:left="284" w:right="281"/>
        <w:rPr>
          <w:i/>
          <w:sz w:val="16"/>
          <w:szCs w:val="16"/>
          <w:lang w:val="es-ES"/>
        </w:rPr>
      </w:pPr>
      <w:r w:rsidRPr="00DA7040">
        <w:rPr>
          <w:i/>
          <w:sz w:val="16"/>
          <w:szCs w:val="16"/>
          <w:lang w:val="es-ES"/>
        </w:rPr>
        <w:t>* Domingos</w:t>
      </w:r>
      <w:r w:rsidRPr="00DA7040">
        <w:rPr>
          <w:i/>
          <w:iCs/>
          <w:sz w:val="16"/>
          <w:szCs w:val="16"/>
          <w:lang w:val="es-ES"/>
        </w:rPr>
        <w:t xml:space="preserve"> en que se procede al cambio de hora: a la hora legal de verano (marzo) y a la hora legal de invierno (octubre)</w:t>
      </w:r>
    </w:p>
    <w:p w14:paraId="3F431151" w14:textId="77777777" w:rsidR="009117F1" w:rsidRDefault="009117F1" w:rsidP="009117F1">
      <w:pPr>
        <w:pStyle w:val="Corpodetexto"/>
        <w:spacing w:line="360" w:lineRule="auto"/>
        <w:rPr>
          <w:sz w:val="20"/>
          <w:szCs w:val="20"/>
          <w:lang w:val="es-ES"/>
        </w:rPr>
      </w:pPr>
    </w:p>
    <w:p w14:paraId="0AFC18CF" w14:textId="77777777" w:rsidR="009117F1" w:rsidRDefault="009117F1" w:rsidP="009117F1">
      <w:pPr>
        <w:pStyle w:val="Corpodetexto"/>
        <w:spacing w:line="360" w:lineRule="auto"/>
        <w:rPr>
          <w:sz w:val="20"/>
          <w:szCs w:val="20"/>
          <w:lang w:val="es-ES"/>
        </w:rPr>
      </w:pPr>
    </w:p>
    <w:p w14:paraId="04508283" w14:textId="77777777" w:rsidR="009117F1" w:rsidRDefault="009117F1" w:rsidP="009117F1">
      <w:pPr>
        <w:pStyle w:val="Corpodetexto"/>
        <w:spacing w:line="360" w:lineRule="auto"/>
        <w:rPr>
          <w:sz w:val="20"/>
          <w:szCs w:val="20"/>
          <w:lang w:val="es-ES"/>
        </w:rPr>
      </w:pPr>
    </w:p>
    <w:p w14:paraId="1FAB8FBE" w14:textId="77777777" w:rsidR="009117F1" w:rsidRDefault="009117F1" w:rsidP="009117F1">
      <w:pPr>
        <w:pStyle w:val="Corpodetexto"/>
        <w:spacing w:line="360" w:lineRule="auto"/>
        <w:rPr>
          <w:sz w:val="20"/>
          <w:szCs w:val="20"/>
          <w:lang w:val="es-ES"/>
        </w:rPr>
      </w:pPr>
    </w:p>
    <w:p w14:paraId="13B62FB0" w14:textId="77777777" w:rsidR="009117F1" w:rsidRDefault="009117F1" w:rsidP="009117F1">
      <w:pPr>
        <w:pStyle w:val="Corpodetexto"/>
        <w:spacing w:line="360" w:lineRule="auto"/>
        <w:rPr>
          <w:sz w:val="20"/>
          <w:szCs w:val="20"/>
          <w:lang w:val="es-ES"/>
        </w:rPr>
      </w:pPr>
    </w:p>
    <w:p w14:paraId="4F50273D" w14:textId="77777777" w:rsidR="00581910" w:rsidRPr="00DA7040" w:rsidRDefault="00581910" w:rsidP="009117F1">
      <w:pPr>
        <w:pStyle w:val="Corpodetexto"/>
        <w:spacing w:line="360" w:lineRule="auto"/>
        <w:rPr>
          <w:sz w:val="20"/>
          <w:szCs w:val="20"/>
          <w:lang w:val="es-ES"/>
        </w:rPr>
      </w:pPr>
    </w:p>
    <w:tbl>
      <w:tblPr>
        <w:tblW w:w="8415" w:type="dxa"/>
        <w:jc w:val="center"/>
        <w:tblLook w:val="0000" w:firstRow="0" w:lastRow="0" w:firstColumn="0" w:lastColumn="0" w:noHBand="0" w:noVBand="0"/>
      </w:tblPr>
      <w:tblGrid>
        <w:gridCol w:w="2895"/>
        <w:gridCol w:w="720"/>
        <w:gridCol w:w="1200"/>
        <w:gridCol w:w="3600"/>
      </w:tblGrid>
      <w:tr w:rsidR="009117F1" w:rsidRPr="009543BD" w14:paraId="49363D1C" w14:textId="77777777" w:rsidTr="00CD44EA">
        <w:trPr>
          <w:trHeight w:val="255"/>
          <w:jc w:val="center"/>
        </w:trPr>
        <w:tc>
          <w:tcPr>
            <w:tcW w:w="2895" w:type="dxa"/>
            <w:tcBorders>
              <w:bottom w:val="single" w:sz="4" w:space="0" w:color="999999"/>
            </w:tcBorders>
            <w:noWrap/>
            <w:vAlign w:val="center"/>
          </w:tcPr>
          <w:p w14:paraId="50FE20C2" w14:textId="77777777" w:rsidR="009117F1" w:rsidRPr="009543BD" w:rsidRDefault="009117F1" w:rsidP="00CD44EA">
            <w:pPr>
              <w:tabs>
                <w:tab w:val="left" w:pos="3500"/>
              </w:tabs>
              <w:spacing w:before="60" w:after="60"/>
              <w:rPr>
                <w:rFonts w:ascii="Arial" w:hAnsi="Arial" w:cs="Arial"/>
                <w:b/>
                <w:sz w:val="20"/>
                <w:szCs w:val="20"/>
              </w:rPr>
            </w:pPr>
            <w:proofErr w:type="spellStart"/>
            <w:r w:rsidRPr="009543BD">
              <w:rPr>
                <w:rFonts w:ascii="Arial" w:hAnsi="Arial" w:cs="Arial"/>
                <w:b/>
                <w:sz w:val="20"/>
                <w:szCs w:val="20"/>
              </w:rPr>
              <w:lastRenderedPageBreak/>
              <w:t>Contratos</w:t>
            </w:r>
            <w:proofErr w:type="spellEnd"/>
            <w:r w:rsidRPr="009543BD">
              <w:rPr>
                <w:rFonts w:ascii="Arial" w:hAnsi="Arial" w:cs="Arial"/>
                <w:b/>
                <w:sz w:val="20"/>
                <w:szCs w:val="20"/>
              </w:rPr>
              <w:t xml:space="preserve"> Fin de </w:t>
            </w:r>
            <w:proofErr w:type="spellStart"/>
            <w:r w:rsidRPr="009543BD">
              <w:rPr>
                <w:rFonts w:ascii="Arial" w:hAnsi="Arial" w:cs="Arial"/>
                <w:b/>
                <w:sz w:val="20"/>
                <w:szCs w:val="20"/>
              </w:rPr>
              <w:t>Semana</w:t>
            </w:r>
            <w:proofErr w:type="spellEnd"/>
          </w:p>
        </w:tc>
        <w:tc>
          <w:tcPr>
            <w:tcW w:w="720" w:type="dxa"/>
            <w:tcBorders>
              <w:bottom w:val="single" w:sz="4" w:space="0" w:color="999999"/>
            </w:tcBorders>
            <w:noWrap/>
            <w:vAlign w:val="center"/>
          </w:tcPr>
          <w:p w14:paraId="403B84E6" w14:textId="77777777" w:rsidR="009117F1" w:rsidRPr="009543BD" w:rsidRDefault="009117F1" w:rsidP="00CD44EA">
            <w:pPr>
              <w:tabs>
                <w:tab w:val="left" w:pos="3500"/>
              </w:tabs>
              <w:spacing w:before="60" w:after="60"/>
              <w:jc w:val="center"/>
              <w:rPr>
                <w:rFonts w:ascii="Arial" w:hAnsi="Arial" w:cs="Arial"/>
                <w:b/>
                <w:sz w:val="20"/>
                <w:szCs w:val="20"/>
              </w:rPr>
            </w:pPr>
            <w:r w:rsidRPr="009543BD">
              <w:rPr>
                <w:rFonts w:ascii="Arial" w:hAnsi="Arial" w:cs="Arial"/>
                <w:b/>
                <w:sz w:val="20"/>
                <w:szCs w:val="20"/>
              </w:rPr>
              <w:t>Días</w:t>
            </w:r>
          </w:p>
        </w:tc>
        <w:tc>
          <w:tcPr>
            <w:tcW w:w="1200" w:type="dxa"/>
            <w:tcBorders>
              <w:bottom w:val="single" w:sz="4" w:space="0" w:color="999999"/>
            </w:tcBorders>
            <w:noWrap/>
            <w:vAlign w:val="center"/>
          </w:tcPr>
          <w:p w14:paraId="46663DE7" w14:textId="77777777" w:rsidR="009117F1" w:rsidRPr="009543BD" w:rsidRDefault="009117F1" w:rsidP="00CD44EA">
            <w:pPr>
              <w:tabs>
                <w:tab w:val="left" w:pos="3500"/>
              </w:tabs>
              <w:spacing w:before="60" w:after="60"/>
              <w:jc w:val="center"/>
              <w:rPr>
                <w:rFonts w:ascii="Arial" w:hAnsi="Arial" w:cs="Arial"/>
                <w:b/>
                <w:sz w:val="20"/>
                <w:szCs w:val="20"/>
              </w:rPr>
            </w:pPr>
            <w:proofErr w:type="spellStart"/>
            <w:r w:rsidRPr="009543BD">
              <w:rPr>
                <w:rFonts w:ascii="Arial" w:hAnsi="Arial" w:cs="Arial"/>
                <w:b/>
                <w:sz w:val="20"/>
                <w:szCs w:val="20"/>
              </w:rPr>
              <w:t>Valor</w:t>
            </w:r>
            <w:proofErr w:type="spellEnd"/>
            <w:r w:rsidRPr="009543BD">
              <w:rPr>
                <w:rFonts w:ascii="Arial" w:hAnsi="Arial" w:cs="Arial"/>
                <w:b/>
                <w:sz w:val="20"/>
                <w:szCs w:val="20"/>
              </w:rPr>
              <w:t xml:space="preserve"> Nominal (MWh)</w:t>
            </w:r>
          </w:p>
        </w:tc>
        <w:tc>
          <w:tcPr>
            <w:tcW w:w="3600" w:type="dxa"/>
            <w:tcBorders>
              <w:bottom w:val="single" w:sz="4" w:space="0" w:color="999999"/>
            </w:tcBorders>
            <w:vAlign w:val="center"/>
          </w:tcPr>
          <w:p w14:paraId="5B61924B" w14:textId="77777777" w:rsidR="009117F1" w:rsidRPr="009543BD" w:rsidRDefault="009117F1" w:rsidP="00CD44EA">
            <w:pPr>
              <w:tabs>
                <w:tab w:val="left" w:pos="3500"/>
              </w:tabs>
              <w:spacing w:before="60" w:after="60"/>
              <w:jc w:val="center"/>
              <w:rPr>
                <w:rFonts w:ascii="Arial" w:hAnsi="Arial" w:cs="Arial"/>
                <w:b/>
                <w:sz w:val="20"/>
                <w:szCs w:val="20"/>
              </w:rPr>
            </w:pPr>
            <w:proofErr w:type="spellStart"/>
            <w:r w:rsidRPr="009543BD">
              <w:rPr>
                <w:rFonts w:ascii="Arial" w:hAnsi="Arial" w:cs="Arial"/>
                <w:b/>
                <w:sz w:val="20"/>
                <w:szCs w:val="20"/>
              </w:rPr>
              <w:t>Descripción</w:t>
            </w:r>
            <w:proofErr w:type="spellEnd"/>
          </w:p>
        </w:tc>
      </w:tr>
      <w:tr w:rsidR="009117F1" w:rsidRPr="00DA7040" w14:paraId="3D1E8B05" w14:textId="77777777" w:rsidTr="00CD44EA">
        <w:trPr>
          <w:trHeight w:val="255"/>
          <w:jc w:val="center"/>
        </w:trPr>
        <w:tc>
          <w:tcPr>
            <w:tcW w:w="2895" w:type="dxa"/>
            <w:tcBorders>
              <w:top w:val="single" w:sz="4" w:space="0" w:color="999999"/>
              <w:bottom w:val="single" w:sz="4" w:space="0" w:color="999999"/>
            </w:tcBorders>
            <w:noWrap/>
            <w:vAlign w:val="center"/>
          </w:tcPr>
          <w:p w14:paraId="40D32A4C" w14:textId="77777777" w:rsidR="009117F1" w:rsidRPr="009543BD" w:rsidRDefault="009117F1" w:rsidP="00CD44EA">
            <w:pPr>
              <w:tabs>
                <w:tab w:val="left" w:pos="3500"/>
              </w:tabs>
              <w:spacing w:before="60" w:after="60"/>
              <w:rPr>
                <w:rFonts w:ascii="Arial" w:hAnsi="Arial" w:cs="Arial"/>
                <w:sz w:val="20"/>
                <w:szCs w:val="20"/>
              </w:rPr>
            </w:pPr>
            <w:r w:rsidRPr="009543BD">
              <w:rPr>
                <w:rFonts w:ascii="Arial" w:hAnsi="Arial" w:cs="Arial"/>
                <w:sz w:val="20"/>
                <w:szCs w:val="20"/>
              </w:rPr>
              <w:t xml:space="preserve">Fin de </w:t>
            </w:r>
            <w:proofErr w:type="spellStart"/>
            <w:r w:rsidRPr="009543BD">
              <w:rPr>
                <w:rFonts w:ascii="Arial" w:hAnsi="Arial" w:cs="Arial"/>
                <w:sz w:val="20"/>
                <w:szCs w:val="20"/>
              </w:rPr>
              <w:t>Semana</w:t>
            </w:r>
            <w:proofErr w:type="spellEnd"/>
            <w:r w:rsidRPr="009543BD">
              <w:rPr>
                <w:rFonts w:ascii="Arial" w:hAnsi="Arial" w:cs="Arial"/>
                <w:sz w:val="20"/>
                <w:szCs w:val="20"/>
              </w:rPr>
              <w:t xml:space="preserve"> </w:t>
            </w:r>
            <w:proofErr w:type="spellStart"/>
            <w:r w:rsidRPr="009543BD">
              <w:rPr>
                <w:rFonts w:ascii="Arial" w:hAnsi="Arial" w:cs="Arial"/>
                <w:sz w:val="20"/>
                <w:szCs w:val="20"/>
              </w:rPr>
              <w:t>corriente</w:t>
            </w:r>
            <w:proofErr w:type="spellEnd"/>
          </w:p>
        </w:tc>
        <w:tc>
          <w:tcPr>
            <w:tcW w:w="720" w:type="dxa"/>
            <w:tcBorders>
              <w:top w:val="single" w:sz="4" w:space="0" w:color="999999"/>
              <w:bottom w:val="single" w:sz="4" w:space="0" w:color="999999"/>
            </w:tcBorders>
            <w:noWrap/>
            <w:vAlign w:val="center"/>
          </w:tcPr>
          <w:p w14:paraId="000A7842"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w:t>
            </w:r>
          </w:p>
        </w:tc>
        <w:tc>
          <w:tcPr>
            <w:tcW w:w="1200" w:type="dxa"/>
            <w:tcBorders>
              <w:top w:val="single" w:sz="4" w:space="0" w:color="999999"/>
              <w:bottom w:val="single" w:sz="4" w:space="0" w:color="999999"/>
            </w:tcBorders>
            <w:noWrap/>
            <w:vAlign w:val="center"/>
          </w:tcPr>
          <w:p w14:paraId="2CB43CDE"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48</w:t>
            </w:r>
          </w:p>
        </w:tc>
        <w:tc>
          <w:tcPr>
            <w:tcW w:w="3600" w:type="dxa"/>
            <w:tcBorders>
              <w:top w:val="single" w:sz="4" w:space="0" w:color="999999"/>
              <w:bottom w:val="single" w:sz="4" w:space="0" w:color="999999"/>
            </w:tcBorders>
            <w:vAlign w:val="center"/>
          </w:tcPr>
          <w:p w14:paraId="198FCFAB"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 x 24 MWh</w:t>
            </w:r>
          </w:p>
        </w:tc>
      </w:tr>
      <w:tr w:rsidR="009117F1" w:rsidRPr="00DA7040" w14:paraId="62065821" w14:textId="77777777" w:rsidTr="00CD44EA">
        <w:trPr>
          <w:trHeight w:val="255"/>
          <w:jc w:val="center"/>
        </w:trPr>
        <w:tc>
          <w:tcPr>
            <w:tcW w:w="2895" w:type="dxa"/>
            <w:tcBorders>
              <w:top w:val="single" w:sz="4" w:space="0" w:color="999999"/>
              <w:bottom w:val="single" w:sz="4" w:space="0" w:color="999999"/>
            </w:tcBorders>
            <w:noWrap/>
            <w:vAlign w:val="center"/>
          </w:tcPr>
          <w:p w14:paraId="57C8059F" w14:textId="77777777" w:rsidR="009117F1" w:rsidRPr="00DA3184" w:rsidRDefault="009117F1" w:rsidP="00CD44EA">
            <w:pPr>
              <w:tabs>
                <w:tab w:val="left" w:pos="3500"/>
              </w:tabs>
              <w:spacing w:before="60" w:after="60"/>
              <w:rPr>
                <w:rFonts w:ascii="Arial" w:hAnsi="Arial" w:cs="Arial"/>
                <w:sz w:val="20"/>
                <w:szCs w:val="20"/>
                <w:lang w:val="es-ES_tradnl"/>
              </w:rPr>
            </w:pPr>
            <w:r w:rsidRPr="00DA3184">
              <w:rPr>
                <w:rFonts w:ascii="Arial" w:hAnsi="Arial" w:cs="Arial"/>
                <w:sz w:val="20"/>
                <w:szCs w:val="20"/>
                <w:lang w:val="es-ES_tradnl"/>
              </w:rPr>
              <w:t>Fin de Semana de marzo con cambio de hora*</w:t>
            </w:r>
          </w:p>
        </w:tc>
        <w:tc>
          <w:tcPr>
            <w:tcW w:w="720" w:type="dxa"/>
            <w:tcBorders>
              <w:top w:val="single" w:sz="4" w:space="0" w:color="999999"/>
              <w:bottom w:val="single" w:sz="4" w:space="0" w:color="999999"/>
            </w:tcBorders>
            <w:noWrap/>
            <w:vAlign w:val="center"/>
          </w:tcPr>
          <w:p w14:paraId="2F8C978E"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w:t>
            </w:r>
          </w:p>
        </w:tc>
        <w:tc>
          <w:tcPr>
            <w:tcW w:w="1200" w:type="dxa"/>
            <w:tcBorders>
              <w:top w:val="single" w:sz="4" w:space="0" w:color="999999"/>
              <w:bottom w:val="single" w:sz="4" w:space="0" w:color="999999"/>
            </w:tcBorders>
            <w:noWrap/>
            <w:vAlign w:val="center"/>
          </w:tcPr>
          <w:p w14:paraId="3F9EE08D"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47</w:t>
            </w:r>
          </w:p>
        </w:tc>
        <w:tc>
          <w:tcPr>
            <w:tcW w:w="3600" w:type="dxa"/>
            <w:tcBorders>
              <w:top w:val="single" w:sz="4" w:space="0" w:color="999999"/>
              <w:bottom w:val="single" w:sz="4" w:space="0" w:color="999999"/>
            </w:tcBorders>
            <w:vAlign w:val="center"/>
          </w:tcPr>
          <w:p w14:paraId="4D196361"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24 MWh + 23 MWh</w:t>
            </w:r>
          </w:p>
        </w:tc>
      </w:tr>
      <w:tr w:rsidR="009117F1" w:rsidRPr="00DA7040" w14:paraId="3A993DF4" w14:textId="77777777" w:rsidTr="00CD44EA">
        <w:trPr>
          <w:trHeight w:val="255"/>
          <w:jc w:val="center"/>
        </w:trPr>
        <w:tc>
          <w:tcPr>
            <w:tcW w:w="2895" w:type="dxa"/>
            <w:tcBorders>
              <w:top w:val="single" w:sz="4" w:space="0" w:color="999999"/>
              <w:bottom w:val="single" w:sz="4" w:space="0" w:color="999999"/>
            </w:tcBorders>
            <w:noWrap/>
            <w:vAlign w:val="center"/>
          </w:tcPr>
          <w:p w14:paraId="286FC64D" w14:textId="77777777" w:rsidR="009117F1" w:rsidRPr="00DA3184" w:rsidRDefault="009117F1" w:rsidP="00CD44EA">
            <w:pPr>
              <w:tabs>
                <w:tab w:val="left" w:pos="3500"/>
              </w:tabs>
              <w:spacing w:before="60" w:after="60"/>
              <w:rPr>
                <w:rFonts w:ascii="Arial" w:hAnsi="Arial" w:cs="Arial"/>
                <w:sz w:val="20"/>
                <w:szCs w:val="20"/>
                <w:lang w:val="es-ES_tradnl"/>
              </w:rPr>
            </w:pPr>
            <w:r w:rsidRPr="00DA3184">
              <w:rPr>
                <w:rFonts w:ascii="Arial" w:hAnsi="Arial" w:cs="Arial"/>
                <w:sz w:val="20"/>
                <w:szCs w:val="20"/>
                <w:lang w:val="es-ES_tradnl"/>
              </w:rPr>
              <w:t>Fin de Semana de octubre con cambio de hora*</w:t>
            </w:r>
          </w:p>
        </w:tc>
        <w:tc>
          <w:tcPr>
            <w:tcW w:w="720" w:type="dxa"/>
            <w:tcBorders>
              <w:top w:val="single" w:sz="4" w:space="0" w:color="999999"/>
              <w:bottom w:val="single" w:sz="4" w:space="0" w:color="999999"/>
            </w:tcBorders>
            <w:noWrap/>
            <w:vAlign w:val="center"/>
          </w:tcPr>
          <w:p w14:paraId="6317496B"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w:t>
            </w:r>
          </w:p>
        </w:tc>
        <w:tc>
          <w:tcPr>
            <w:tcW w:w="1200" w:type="dxa"/>
            <w:tcBorders>
              <w:top w:val="single" w:sz="4" w:space="0" w:color="999999"/>
              <w:bottom w:val="single" w:sz="4" w:space="0" w:color="999999"/>
            </w:tcBorders>
            <w:noWrap/>
            <w:vAlign w:val="center"/>
          </w:tcPr>
          <w:p w14:paraId="0F6878B9"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49</w:t>
            </w:r>
          </w:p>
        </w:tc>
        <w:tc>
          <w:tcPr>
            <w:tcW w:w="3600" w:type="dxa"/>
            <w:tcBorders>
              <w:top w:val="single" w:sz="4" w:space="0" w:color="999999"/>
              <w:bottom w:val="single" w:sz="4" w:space="0" w:color="999999"/>
            </w:tcBorders>
            <w:vAlign w:val="center"/>
          </w:tcPr>
          <w:p w14:paraId="35EC056F" w14:textId="77777777" w:rsidR="009117F1" w:rsidRPr="009543BD" w:rsidRDefault="009117F1" w:rsidP="00CD44EA">
            <w:pPr>
              <w:tabs>
                <w:tab w:val="left" w:pos="3500"/>
              </w:tabs>
              <w:spacing w:before="60" w:after="60"/>
              <w:jc w:val="center"/>
              <w:rPr>
                <w:rFonts w:ascii="Arial" w:hAnsi="Arial" w:cs="Arial"/>
                <w:sz w:val="20"/>
                <w:szCs w:val="20"/>
              </w:rPr>
            </w:pPr>
            <w:r w:rsidRPr="009543BD">
              <w:rPr>
                <w:rFonts w:ascii="Arial" w:hAnsi="Arial" w:cs="Arial"/>
                <w:sz w:val="20"/>
                <w:szCs w:val="20"/>
              </w:rPr>
              <w:t>24 MWh + 25 MWh</w:t>
            </w:r>
          </w:p>
        </w:tc>
      </w:tr>
    </w:tbl>
    <w:p w14:paraId="23EA902F" w14:textId="77777777" w:rsidR="009117F1" w:rsidRPr="008042C9" w:rsidRDefault="009117F1" w:rsidP="009117F1">
      <w:pPr>
        <w:pStyle w:val="Corpodetexto"/>
        <w:spacing w:before="60"/>
        <w:ind w:left="284" w:right="281" w:firstLine="22"/>
        <w:rPr>
          <w:i/>
          <w:sz w:val="16"/>
          <w:szCs w:val="16"/>
          <w:lang w:val="es-ES"/>
        </w:rPr>
      </w:pPr>
      <w:r w:rsidRPr="00DA7040">
        <w:rPr>
          <w:i/>
          <w:sz w:val="16"/>
          <w:szCs w:val="16"/>
          <w:lang w:val="es-ES"/>
        </w:rPr>
        <w:t xml:space="preserve">* Fines de Semana que incluyen el día </w:t>
      </w:r>
      <w:r w:rsidRPr="00DA7040">
        <w:rPr>
          <w:i/>
          <w:iCs/>
          <w:sz w:val="16"/>
          <w:szCs w:val="16"/>
          <w:lang w:val="es-ES"/>
        </w:rPr>
        <w:t>en que se procede al cambio de hora: a la hora legal de verano (marzo) y a la hora legal de invierno (octubre)</w:t>
      </w:r>
    </w:p>
    <w:p w14:paraId="78AA2D0B" w14:textId="77777777" w:rsidR="009117F1" w:rsidRPr="0032459E" w:rsidRDefault="009117F1" w:rsidP="009117F1">
      <w:pPr>
        <w:pStyle w:val="Corpodetexto"/>
        <w:spacing w:before="60" w:line="360" w:lineRule="auto"/>
        <w:ind w:left="284" w:right="281" w:firstLine="22"/>
        <w:rPr>
          <w:sz w:val="20"/>
          <w:szCs w:val="20"/>
          <w:lang w:val="es-ES"/>
        </w:rPr>
      </w:pPr>
    </w:p>
    <w:tbl>
      <w:tblPr>
        <w:tblW w:w="8415" w:type="dxa"/>
        <w:jc w:val="center"/>
        <w:tblLook w:val="0000" w:firstRow="0" w:lastRow="0" w:firstColumn="0" w:lastColumn="0" w:noHBand="0" w:noVBand="0"/>
      </w:tblPr>
      <w:tblGrid>
        <w:gridCol w:w="2895"/>
        <w:gridCol w:w="720"/>
        <w:gridCol w:w="1200"/>
        <w:gridCol w:w="3600"/>
      </w:tblGrid>
      <w:tr w:rsidR="0032459E" w:rsidRPr="00710FF8" w14:paraId="4431A8AA" w14:textId="77777777" w:rsidTr="00710FF8">
        <w:trPr>
          <w:trHeight w:val="255"/>
          <w:jc w:val="center"/>
        </w:trPr>
        <w:tc>
          <w:tcPr>
            <w:tcW w:w="2895" w:type="dxa"/>
            <w:tcBorders>
              <w:bottom w:val="single" w:sz="4" w:space="0" w:color="999999"/>
            </w:tcBorders>
            <w:shd w:val="clear" w:color="auto" w:fill="auto"/>
            <w:noWrap/>
            <w:vAlign w:val="bottom"/>
          </w:tcPr>
          <w:p w14:paraId="338EF443" w14:textId="77777777" w:rsidR="0032459E" w:rsidRPr="00710FF8" w:rsidRDefault="0032459E" w:rsidP="009F7D08">
            <w:pPr>
              <w:tabs>
                <w:tab w:val="left" w:pos="3500"/>
              </w:tabs>
              <w:spacing w:before="60" w:after="60"/>
              <w:rPr>
                <w:rFonts w:ascii="Arial" w:hAnsi="Arial" w:cs="Arial"/>
                <w:b/>
                <w:sz w:val="20"/>
                <w:szCs w:val="20"/>
              </w:rPr>
            </w:pPr>
            <w:proofErr w:type="spellStart"/>
            <w:r w:rsidRPr="00710FF8">
              <w:rPr>
                <w:rFonts w:ascii="Arial" w:hAnsi="Arial" w:cs="Arial"/>
                <w:b/>
                <w:sz w:val="20"/>
                <w:szCs w:val="20"/>
              </w:rPr>
              <w:t>Contratos</w:t>
            </w:r>
            <w:proofErr w:type="spellEnd"/>
            <w:r w:rsidRPr="00710FF8">
              <w:rPr>
                <w:rFonts w:ascii="Arial" w:hAnsi="Arial" w:cs="Arial"/>
                <w:b/>
                <w:sz w:val="20"/>
                <w:szCs w:val="20"/>
              </w:rPr>
              <w:t xml:space="preserve"> </w:t>
            </w:r>
            <w:proofErr w:type="spellStart"/>
            <w:r w:rsidRPr="00710FF8">
              <w:rPr>
                <w:rFonts w:ascii="Arial" w:hAnsi="Arial" w:cs="Arial"/>
                <w:b/>
                <w:sz w:val="20"/>
                <w:szCs w:val="20"/>
              </w:rPr>
              <w:t>Semana</w:t>
            </w:r>
            <w:proofErr w:type="spellEnd"/>
          </w:p>
        </w:tc>
        <w:tc>
          <w:tcPr>
            <w:tcW w:w="720" w:type="dxa"/>
            <w:tcBorders>
              <w:bottom w:val="single" w:sz="4" w:space="0" w:color="999999"/>
            </w:tcBorders>
            <w:shd w:val="clear" w:color="auto" w:fill="auto"/>
            <w:noWrap/>
            <w:vAlign w:val="bottom"/>
          </w:tcPr>
          <w:p w14:paraId="0E3D6C29" w14:textId="77777777" w:rsidR="0032459E" w:rsidRPr="00710FF8" w:rsidRDefault="0032459E" w:rsidP="00710FF8">
            <w:pPr>
              <w:tabs>
                <w:tab w:val="left" w:pos="3500"/>
              </w:tabs>
              <w:spacing w:before="60" w:after="60"/>
              <w:jc w:val="center"/>
              <w:rPr>
                <w:rFonts w:ascii="Arial" w:hAnsi="Arial" w:cs="Arial"/>
                <w:b/>
                <w:sz w:val="20"/>
                <w:szCs w:val="20"/>
              </w:rPr>
            </w:pPr>
            <w:r w:rsidRPr="00710FF8">
              <w:rPr>
                <w:rFonts w:ascii="Arial" w:hAnsi="Arial" w:cs="Arial"/>
                <w:b/>
                <w:sz w:val="20"/>
                <w:szCs w:val="20"/>
              </w:rPr>
              <w:t>Días</w:t>
            </w:r>
          </w:p>
        </w:tc>
        <w:tc>
          <w:tcPr>
            <w:tcW w:w="1200" w:type="dxa"/>
            <w:tcBorders>
              <w:bottom w:val="single" w:sz="4" w:space="0" w:color="999999"/>
            </w:tcBorders>
            <w:shd w:val="clear" w:color="auto" w:fill="auto"/>
            <w:noWrap/>
            <w:vAlign w:val="bottom"/>
          </w:tcPr>
          <w:p w14:paraId="656B0EC0" w14:textId="77777777" w:rsidR="0032459E" w:rsidRPr="00710FF8" w:rsidRDefault="0032459E" w:rsidP="00710FF8">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Valor</w:t>
            </w:r>
            <w:proofErr w:type="spellEnd"/>
            <w:r w:rsidRPr="00710FF8">
              <w:rPr>
                <w:rFonts w:ascii="Arial" w:hAnsi="Arial" w:cs="Arial"/>
                <w:b/>
                <w:sz w:val="20"/>
                <w:szCs w:val="20"/>
              </w:rPr>
              <w:t xml:space="preserve"> Nominal (MWh)</w:t>
            </w:r>
          </w:p>
        </w:tc>
        <w:tc>
          <w:tcPr>
            <w:tcW w:w="3600" w:type="dxa"/>
            <w:tcBorders>
              <w:bottom w:val="single" w:sz="4" w:space="0" w:color="999999"/>
            </w:tcBorders>
            <w:vAlign w:val="bottom"/>
          </w:tcPr>
          <w:p w14:paraId="5721BBE2" w14:textId="77777777" w:rsidR="0032459E" w:rsidRPr="00710FF8" w:rsidRDefault="0032459E" w:rsidP="00710FF8">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Descripción</w:t>
            </w:r>
            <w:proofErr w:type="spellEnd"/>
          </w:p>
        </w:tc>
      </w:tr>
      <w:tr w:rsidR="0032459E" w:rsidRPr="0032459E" w14:paraId="1FEA80F8"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40205A40" w14:textId="77777777" w:rsidR="0032459E" w:rsidRPr="00710FF8" w:rsidRDefault="0032459E" w:rsidP="00710FF8">
            <w:pPr>
              <w:tabs>
                <w:tab w:val="left" w:pos="3500"/>
              </w:tabs>
              <w:spacing w:before="60" w:after="60"/>
              <w:rPr>
                <w:rFonts w:ascii="Arial" w:hAnsi="Arial" w:cs="Arial"/>
                <w:sz w:val="20"/>
                <w:szCs w:val="20"/>
              </w:rPr>
            </w:pPr>
            <w:proofErr w:type="spellStart"/>
            <w:r w:rsidRPr="00710FF8">
              <w:rPr>
                <w:rFonts w:ascii="Arial" w:hAnsi="Arial" w:cs="Arial"/>
                <w:sz w:val="20"/>
                <w:szCs w:val="20"/>
              </w:rPr>
              <w:t>Semana</w:t>
            </w:r>
            <w:proofErr w:type="spellEnd"/>
            <w:r w:rsidRPr="00710FF8">
              <w:rPr>
                <w:rFonts w:ascii="Arial" w:hAnsi="Arial" w:cs="Arial"/>
                <w:sz w:val="20"/>
                <w:szCs w:val="20"/>
              </w:rPr>
              <w:t xml:space="preserve"> </w:t>
            </w:r>
            <w:proofErr w:type="spellStart"/>
            <w:r w:rsidRPr="00710FF8">
              <w:rPr>
                <w:rFonts w:ascii="Arial" w:hAnsi="Arial" w:cs="Arial"/>
                <w:sz w:val="20"/>
                <w:szCs w:val="20"/>
              </w:rPr>
              <w:t>corriente</w:t>
            </w:r>
            <w:proofErr w:type="spellEnd"/>
          </w:p>
        </w:tc>
        <w:tc>
          <w:tcPr>
            <w:tcW w:w="720" w:type="dxa"/>
            <w:tcBorders>
              <w:top w:val="single" w:sz="4" w:space="0" w:color="999999"/>
              <w:bottom w:val="single" w:sz="4" w:space="0" w:color="999999"/>
            </w:tcBorders>
            <w:shd w:val="clear" w:color="auto" w:fill="auto"/>
            <w:noWrap/>
            <w:vAlign w:val="center"/>
          </w:tcPr>
          <w:p w14:paraId="34331095"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7</w:t>
            </w:r>
          </w:p>
        </w:tc>
        <w:tc>
          <w:tcPr>
            <w:tcW w:w="1200" w:type="dxa"/>
            <w:tcBorders>
              <w:top w:val="single" w:sz="4" w:space="0" w:color="999999"/>
              <w:bottom w:val="single" w:sz="4" w:space="0" w:color="999999"/>
            </w:tcBorders>
            <w:shd w:val="clear" w:color="auto" w:fill="auto"/>
            <w:noWrap/>
            <w:vAlign w:val="center"/>
          </w:tcPr>
          <w:p w14:paraId="260FFAF9"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168</w:t>
            </w:r>
          </w:p>
        </w:tc>
        <w:tc>
          <w:tcPr>
            <w:tcW w:w="3600" w:type="dxa"/>
            <w:tcBorders>
              <w:top w:val="single" w:sz="4" w:space="0" w:color="999999"/>
              <w:bottom w:val="single" w:sz="4" w:space="0" w:color="999999"/>
            </w:tcBorders>
            <w:vAlign w:val="center"/>
          </w:tcPr>
          <w:p w14:paraId="4E1BE9F0"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7 x 24 MWh</w:t>
            </w:r>
          </w:p>
        </w:tc>
      </w:tr>
      <w:tr w:rsidR="0032459E" w:rsidRPr="0032459E" w14:paraId="659EFE1F"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02626956" w14:textId="77777777" w:rsidR="0032459E" w:rsidRPr="00710FF8" w:rsidRDefault="0032459E" w:rsidP="00710FF8">
            <w:pPr>
              <w:tabs>
                <w:tab w:val="left" w:pos="3500"/>
              </w:tabs>
              <w:spacing w:before="60" w:after="60"/>
              <w:rPr>
                <w:rFonts w:ascii="Arial" w:hAnsi="Arial" w:cs="Arial"/>
                <w:sz w:val="20"/>
                <w:szCs w:val="20"/>
                <w:lang w:val="es-ES_tradnl"/>
              </w:rPr>
            </w:pPr>
            <w:r w:rsidRPr="00710FF8">
              <w:rPr>
                <w:rFonts w:ascii="Arial" w:hAnsi="Arial" w:cs="Arial"/>
                <w:sz w:val="20"/>
                <w:szCs w:val="20"/>
                <w:lang w:val="es-ES_tradnl"/>
              </w:rPr>
              <w:t>Semana de marzo con cambio de hora*</w:t>
            </w:r>
          </w:p>
        </w:tc>
        <w:tc>
          <w:tcPr>
            <w:tcW w:w="720" w:type="dxa"/>
            <w:tcBorders>
              <w:top w:val="single" w:sz="4" w:space="0" w:color="999999"/>
              <w:bottom w:val="single" w:sz="4" w:space="0" w:color="999999"/>
            </w:tcBorders>
            <w:shd w:val="clear" w:color="auto" w:fill="auto"/>
            <w:noWrap/>
            <w:vAlign w:val="center"/>
          </w:tcPr>
          <w:p w14:paraId="146FC769"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7</w:t>
            </w:r>
          </w:p>
        </w:tc>
        <w:tc>
          <w:tcPr>
            <w:tcW w:w="1200" w:type="dxa"/>
            <w:tcBorders>
              <w:top w:val="single" w:sz="4" w:space="0" w:color="999999"/>
              <w:bottom w:val="single" w:sz="4" w:space="0" w:color="999999"/>
            </w:tcBorders>
            <w:shd w:val="clear" w:color="auto" w:fill="auto"/>
            <w:noWrap/>
            <w:vAlign w:val="center"/>
          </w:tcPr>
          <w:p w14:paraId="1F41BF58"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167</w:t>
            </w:r>
          </w:p>
        </w:tc>
        <w:tc>
          <w:tcPr>
            <w:tcW w:w="3600" w:type="dxa"/>
            <w:tcBorders>
              <w:top w:val="single" w:sz="4" w:space="0" w:color="999999"/>
              <w:bottom w:val="single" w:sz="4" w:space="0" w:color="999999"/>
            </w:tcBorders>
            <w:vAlign w:val="center"/>
          </w:tcPr>
          <w:p w14:paraId="3856664A"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6 x 24 MWh + 23 MWh</w:t>
            </w:r>
          </w:p>
        </w:tc>
      </w:tr>
      <w:tr w:rsidR="0032459E" w:rsidRPr="0032459E" w14:paraId="0C298B07"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1F87D1EA" w14:textId="77777777" w:rsidR="0032459E" w:rsidRPr="00710FF8" w:rsidRDefault="0032459E" w:rsidP="00710FF8">
            <w:pPr>
              <w:tabs>
                <w:tab w:val="left" w:pos="3500"/>
              </w:tabs>
              <w:spacing w:before="60" w:after="60"/>
              <w:rPr>
                <w:rFonts w:ascii="Arial" w:hAnsi="Arial" w:cs="Arial"/>
                <w:sz w:val="20"/>
                <w:szCs w:val="20"/>
                <w:lang w:val="es-ES_tradnl"/>
              </w:rPr>
            </w:pPr>
            <w:r w:rsidRPr="00710FF8">
              <w:rPr>
                <w:rFonts w:ascii="Arial" w:hAnsi="Arial" w:cs="Arial"/>
                <w:sz w:val="20"/>
                <w:szCs w:val="20"/>
                <w:lang w:val="es-ES_tradnl"/>
              </w:rPr>
              <w:t>Semana de octubre con cambio de hora*</w:t>
            </w:r>
          </w:p>
        </w:tc>
        <w:tc>
          <w:tcPr>
            <w:tcW w:w="720" w:type="dxa"/>
            <w:tcBorders>
              <w:top w:val="single" w:sz="4" w:space="0" w:color="999999"/>
              <w:bottom w:val="single" w:sz="4" w:space="0" w:color="999999"/>
            </w:tcBorders>
            <w:shd w:val="clear" w:color="auto" w:fill="auto"/>
            <w:noWrap/>
            <w:vAlign w:val="center"/>
          </w:tcPr>
          <w:p w14:paraId="388CD201"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7</w:t>
            </w:r>
          </w:p>
        </w:tc>
        <w:tc>
          <w:tcPr>
            <w:tcW w:w="1200" w:type="dxa"/>
            <w:tcBorders>
              <w:top w:val="single" w:sz="4" w:space="0" w:color="999999"/>
              <w:bottom w:val="single" w:sz="4" w:space="0" w:color="999999"/>
            </w:tcBorders>
            <w:shd w:val="clear" w:color="auto" w:fill="auto"/>
            <w:noWrap/>
            <w:vAlign w:val="center"/>
          </w:tcPr>
          <w:p w14:paraId="0D613B98"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169</w:t>
            </w:r>
          </w:p>
        </w:tc>
        <w:tc>
          <w:tcPr>
            <w:tcW w:w="3600" w:type="dxa"/>
            <w:tcBorders>
              <w:top w:val="single" w:sz="4" w:space="0" w:color="999999"/>
              <w:bottom w:val="single" w:sz="4" w:space="0" w:color="999999"/>
            </w:tcBorders>
            <w:vAlign w:val="center"/>
          </w:tcPr>
          <w:p w14:paraId="6637F7C7"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6 x 24 MWh + 25 MWh</w:t>
            </w:r>
          </w:p>
        </w:tc>
      </w:tr>
    </w:tbl>
    <w:p w14:paraId="30C73714" w14:textId="77777777" w:rsidR="0032459E" w:rsidRDefault="0032459E" w:rsidP="009F7D08">
      <w:pPr>
        <w:pStyle w:val="Corpodetexto"/>
        <w:spacing w:before="60"/>
        <w:ind w:left="284" w:right="281"/>
        <w:rPr>
          <w:i/>
          <w:sz w:val="16"/>
          <w:szCs w:val="16"/>
          <w:lang w:val="es-ES"/>
        </w:rPr>
      </w:pPr>
      <w:r w:rsidRPr="00751834">
        <w:rPr>
          <w:i/>
          <w:sz w:val="16"/>
          <w:szCs w:val="16"/>
          <w:lang w:val="es-ES"/>
        </w:rPr>
        <w:t>*</w:t>
      </w:r>
      <w:r w:rsidR="001558E4">
        <w:rPr>
          <w:i/>
          <w:sz w:val="16"/>
          <w:szCs w:val="16"/>
          <w:lang w:val="es-ES"/>
        </w:rPr>
        <w:t xml:space="preserve"> </w:t>
      </w:r>
      <w:r w:rsidRPr="00751834">
        <w:rPr>
          <w:i/>
          <w:sz w:val="16"/>
          <w:szCs w:val="16"/>
          <w:lang w:val="es-ES"/>
        </w:rPr>
        <w:t>Semanas que incluyen el día en que se procede al cambio de hora: a la hora legal de verano (marzo) y a la hora legal de invierno (octubre).</w:t>
      </w:r>
    </w:p>
    <w:p w14:paraId="6598C232" w14:textId="77777777" w:rsidR="009F7D08" w:rsidRDefault="009F7D08" w:rsidP="009F7D08">
      <w:pPr>
        <w:pStyle w:val="Corpodetexto"/>
        <w:spacing w:before="60"/>
        <w:ind w:left="284" w:right="281"/>
        <w:rPr>
          <w:i/>
          <w:sz w:val="16"/>
          <w:szCs w:val="16"/>
          <w:lang w:val="es-ES"/>
        </w:rPr>
      </w:pPr>
    </w:p>
    <w:p w14:paraId="305EE064" w14:textId="77777777" w:rsidR="009F7D08" w:rsidRPr="00751834" w:rsidRDefault="009F7D08" w:rsidP="009F7D08">
      <w:pPr>
        <w:pStyle w:val="Corpodetexto"/>
        <w:spacing w:before="60"/>
        <w:ind w:left="284" w:right="281"/>
        <w:rPr>
          <w:i/>
          <w:sz w:val="16"/>
          <w:szCs w:val="16"/>
          <w:lang w:val="es-ES"/>
        </w:rPr>
      </w:pPr>
    </w:p>
    <w:tbl>
      <w:tblPr>
        <w:tblW w:w="8415" w:type="dxa"/>
        <w:jc w:val="center"/>
        <w:tblLook w:val="0000" w:firstRow="0" w:lastRow="0" w:firstColumn="0" w:lastColumn="0" w:noHBand="0" w:noVBand="0"/>
      </w:tblPr>
      <w:tblGrid>
        <w:gridCol w:w="2895"/>
        <w:gridCol w:w="720"/>
        <w:gridCol w:w="1200"/>
        <w:gridCol w:w="3600"/>
      </w:tblGrid>
      <w:tr w:rsidR="0032459E" w:rsidRPr="00710FF8" w14:paraId="11BD4A0C" w14:textId="77777777" w:rsidTr="00710FF8">
        <w:trPr>
          <w:trHeight w:val="255"/>
          <w:jc w:val="center"/>
        </w:trPr>
        <w:tc>
          <w:tcPr>
            <w:tcW w:w="2895" w:type="dxa"/>
            <w:tcBorders>
              <w:bottom w:val="single" w:sz="4" w:space="0" w:color="999999"/>
            </w:tcBorders>
            <w:shd w:val="clear" w:color="auto" w:fill="auto"/>
            <w:noWrap/>
            <w:vAlign w:val="bottom"/>
          </w:tcPr>
          <w:p w14:paraId="42D32934" w14:textId="77777777" w:rsidR="0032459E" w:rsidRPr="00710FF8" w:rsidRDefault="0032459E" w:rsidP="009F7D08">
            <w:pPr>
              <w:tabs>
                <w:tab w:val="left" w:pos="3500"/>
              </w:tabs>
              <w:spacing w:before="60" w:after="60"/>
              <w:rPr>
                <w:rFonts w:ascii="Arial" w:hAnsi="Arial" w:cs="Arial"/>
                <w:b/>
                <w:sz w:val="20"/>
                <w:szCs w:val="20"/>
              </w:rPr>
            </w:pPr>
            <w:proofErr w:type="spellStart"/>
            <w:r w:rsidRPr="00710FF8">
              <w:rPr>
                <w:rFonts w:ascii="Arial" w:hAnsi="Arial" w:cs="Arial"/>
                <w:b/>
                <w:sz w:val="20"/>
                <w:szCs w:val="20"/>
              </w:rPr>
              <w:t>Contratos</w:t>
            </w:r>
            <w:proofErr w:type="spellEnd"/>
            <w:r w:rsidRPr="00710FF8">
              <w:rPr>
                <w:rFonts w:ascii="Arial" w:hAnsi="Arial" w:cs="Arial"/>
                <w:b/>
                <w:sz w:val="20"/>
                <w:szCs w:val="20"/>
              </w:rPr>
              <w:t xml:space="preserve"> </w:t>
            </w:r>
            <w:proofErr w:type="spellStart"/>
            <w:r w:rsidRPr="00710FF8">
              <w:rPr>
                <w:rFonts w:ascii="Arial" w:hAnsi="Arial" w:cs="Arial"/>
                <w:b/>
                <w:sz w:val="20"/>
                <w:szCs w:val="20"/>
              </w:rPr>
              <w:t>Mes</w:t>
            </w:r>
            <w:proofErr w:type="spellEnd"/>
          </w:p>
        </w:tc>
        <w:tc>
          <w:tcPr>
            <w:tcW w:w="720" w:type="dxa"/>
            <w:tcBorders>
              <w:bottom w:val="single" w:sz="4" w:space="0" w:color="999999"/>
            </w:tcBorders>
            <w:shd w:val="clear" w:color="auto" w:fill="auto"/>
            <w:noWrap/>
            <w:vAlign w:val="bottom"/>
          </w:tcPr>
          <w:p w14:paraId="39E097AB" w14:textId="77777777" w:rsidR="0032459E" w:rsidRPr="00710FF8" w:rsidRDefault="0032459E" w:rsidP="00710FF8">
            <w:pPr>
              <w:tabs>
                <w:tab w:val="left" w:pos="3500"/>
              </w:tabs>
              <w:spacing w:before="60" w:after="60"/>
              <w:jc w:val="center"/>
              <w:rPr>
                <w:rFonts w:ascii="Arial" w:hAnsi="Arial" w:cs="Arial"/>
                <w:b/>
                <w:sz w:val="20"/>
                <w:szCs w:val="20"/>
              </w:rPr>
            </w:pPr>
            <w:r w:rsidRPr="00710FF8">
              <w:rPr>
                <w:rFonts w:ascii="Arial" w:hAnsi="Arial" w:cs="Arial"/>
                <w:b/>
                <w:sz w:val="20"/>
                <w:szCs w:val="20"/>
              </w:rPr>
              <w:t>Días</w:t>
            </w:r>
          </w:p>
        </w:tc>
        <w:tc>
          <w:tcPr>
            <w:tcW w:w="1200" w:type="dxa"/>
            <w:tcBorders>
              <w:bottom w:val="single" w:sz="4" w:space="0" w:color="999999"/>
            </w:tcBorders>
            <w:shd w:val="clear" w:color="auto" w:fill="auto"/>
            <w:noWrap/>
            <w:vAlign w:val="bottom"/>
          </w:tcPr>
          <w:p w14:paraId="7827448C" w14:textId="77777777" w:rsidR="0032459E" w:rsidRPr="00710FF8" w:rsidRDefault="0032459E" w:rsidP="00710FF8">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Valor</w:t>
            </w:r>
            <w:proofErr w:type="spellEnd"/>
            <w:r w:rsidRPr="00710FF8">
              <w:rPr>
                <w:rFonts w:ascii="Arial" w:hAnsi="Arial" w:cs="Arial"/>
                <w:b/>
                <w:sz w:val="20"/>
                <w:szCs w:val="20"/>
              </w:rPr>
              <w:t xml:space="preserve"> Nominal (MWh)</w:t>
            </w:r>
          </w:p>
        </w:tc>
        <w:tc>
          <w:tcPr>
            <w:tcW w:w="3600" w:type="dxa"/>
            <w:tcBorders>
              <w:bottom w:val="single" w:sz="4" w:space="0" w:color="999999"/>
            </w:tcBorders>
            <w:vAlign w:val="bottom"/>
          </w:tcPr>
          <w:p w14:paraId="157DAF5D" w14:textId="77777777" w:rsidR="0032459E" w:rsidRPr="00710FF8" w:rsidRDefault="0032459E" w:rsidP="00710FF8">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Descripción</w:t>
            </w:r>
            <w:proofErr w:type="spellEnd"/>
          </w:p>
        </w:tc>
      </w:tr>
      <w:tr w:rsidR="0032459E" w:rsidRPr="0032459E" w14:paraId="4B5F6455"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25CE57DF" w14:textId="77777777" w:rsidR="0032459E" w:rsidRPr="00710FF8" w:rsidRDefault="0032459E" w:rsidP="001E627E">
            <w:pPr>
              <w:tabs>
                <w:tab w:val="left" w:pos="3500"/>
              </w:tabs>
              <w:spacing w:before="60" w:after="60"/>
              <w:rPr>
                <w:rFonts w:ascii="Arial" w:hAnsi="Arial" w:cs="Arial"/>
                <w:sz w:val="20"/>
                <w:szCs w:val="20"/>
              </w:rPr>
            </w:pPr>
            <w:proofErr w:type="spellStart"/>
            <w:r w:rsidRPr="00710FF8">
              <w:rPr>
                <w:rFonts w:ascii="Arial" w:hAnsi="Arial" w:cs="Arial"/>
                <w:sz w:val="20"/>
                <w:szCs w:val="20"/>
              </w:rPr>
              <w:t>Febrero</w:t>
            </w:r>
            <w:proofErr w:type="spellEnd"/>
          </w:p>
        </w:tc>
        <w:tc>
          <w:tcPr>
            <w:tcW w:w="720" w:type="dxa"/>
            <w:tcBorders>
              <w:top w:val="single" w:sz="4" w:space="0" w:color="999999"/>
              <w:bottom w:val="single" w:sz="4" w:space="0" w:color="999999"/>
            </w:tcBorders>
            <w:shd w:val="clear" w:color="auto" w:fill="auto"/>
            <w:noWrap/>
            <w:vAlign w:val="center"/>
          </w:tcPr>
          <w:p w14:paraId="780DD19C"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28</w:t>
            </w:r>
          </w:p>
        </w:tc>
        <w:tc>
          <w:tcPr>
            <w:tcW w:w="1200" w:type="dxa"/>
            <w:tcBorders>
              <w:top w:val="single" w:sz="4" w:space="0" w:color="999999"/>
              <w:bottom w:val="single" w:sz="4" w:space="0" w:color="999999"/>
            </w:tcBorders>
            <w:shd w:val="clear" w:color="auto" w:fill="auto"/>
            <w:noWrap/>
            <w:vAlign w:val="center"/>
          </w:tcPr>
          <w:p w14:paraId="452F5870"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672</w:t>
            </w:r>
          </w:p>
        </w:tc>
        <w:tc>
          <w:tcPr>
            <w:tcW w:w="3600" w:type="dxa"/>
            <w:tcBorders>
              <w:top w:val="single" w:sz="4" w:space="0" w:color="999999"/>
              <w:bottom w:val="single" w:sz="4" w:space="0" w:color="999999"/>
            </w:tcBorders>
            <w:vAlign w:val="center"/>
          </w:tcPr>
          <w:p w14:paraId="4460A9D0"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28 x 24 MWh</w:t>
            </w:r>
          </w:p>
        </w:tc>
      </w:tr>
      <w:tr w:rsidR="0032459E" w:rsidRPr="0032459E" w14:paraId="477ECECF"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2598ED91" w14:textId="77777777" w:rsidR="0032459E" w:rsidRPr="00710FF8" w:rsidRDefault="0032459E" w:rsidP="001E627E">
            <w:pPr>
              <w:tabs>
                <w:tab w:val="left" w:pos="3500"/>
              </w:tabs>
              <w:spacing w:before="60" w:after="60"/>
              <w:rPr>
                <w:rFonts w:ascii="Arial" w:hAnsi="Arial" w:cs="Arial"/>
                <w:sz w:val="20"/>
                <w:szCs w:val="20"/>
              </w:rPr>
            </w:pPr>
            <w:proofErr w:type="spellStart"/>
            <w:r w:rsidRPr="00710FF8">
              <w:rPr>
                <w:rFonts w:ascii="Arial" w:hAnsi="Arial" w:cs="Arial"/>
                <w:sz w:val="20"/>
                <w:szCs w:val="20"/>
              </w:rPr>
              <w:t>Febrero</w:t>
            </w:r>
            <w:proofErr w:type="spellEnd"/>
            <w:r w:rsidRPr="00710FF8">
              <w:rPr>
                <w:rFonts w:ascii="Arial" w:hAnsi="Arial" w:cs="Arial"/>
                <w:sz w:val="20"/>
                <w:szCs w:val="20"/>
              </w:rPr>
              <w:t xml:space="preserve"> (</w:t>
            </w:r>
            <w:proofErr w:type="spellStart"/>
            <w:r w:rsidRPr="00710FF8">
              <w:rPr>
                <w:rFonts w:ascii="Arial" w:hAnsi="Arial" w:cs="Arial"/>
                <w:sz w:val="20"/>
                <w:szCs w:val="20"/>
              </w:rPr>
              <w:t>año</w:t>
            </w:r>
            <w:proofErr w:type="spellEnd"/>
            <w:r w:rsidRPr="00710FF8">
              <w:rPr>
                <w:rFonts w:ascii="Arial" w:hAnsi="Arial" w:cs="Arial"/>
                <w:sz w:val="20"/>
                <w:szCs w:val="20"/>
              </w:rPr>
              <w:t xml:space="preserve"> </w:t>
            </w:r>
            <w:proofErr w:type="spellStart"/>
            <w:r w:rsidRPr="00710FF8">
              <w:rPr>
                <w:rFonts w:ascii="Arial" w:hAnsi="Arial" w:cs="Arial"/>
                <w:sz w:val="20"/>
                <w:szCs w:val="20"/>
              </w:rPr>
              <w:t>bisiesto</w:t>
            </w:r>
            <w:proofErr w:type="spellEnd"/>
            <w:r w:rsidRPr="00710FF8">
              <w:rPr>
                <w:rFonts w:ascii="Arial" w:hAnsi="Arial" w:cs="Arial"/>
                <w:sz w:val="20"/>
                <w:szCs w:val="20"/>
              </w:rPr>
              <w:t>)</w:t>
            </w:r>
          </w:p>
        </w:tc>
        <w:tc>
          <w:tcPr>
            <w:tcW w:w="720" w:type="dxa"/>
            <w:tcBorders>
              <w:top w:val="single" w:sz="4" w:space="0" w:color="999999"/>
              <w:bottom w:val="single" w:sz="4" w:space="0" w:color="999999"/>
            </w:tcBorders>
            <w:shd w:val="clear" w:color="auto" w:fill="auto"/>
            <w:noWrap/>
            <w:vAlign w:val="center"/>
          </w:tcPr>
          <w:p w14:paraId="76DEA199"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29</w:t>
            </w:r>
          </w:p>
        </w:tc>
        <w:tc>
          <w:tcPr>
            <w:tcW w:w="1200" w:type="dxa"/>
            <w:tcBorders>
              <w:top w:val="single" w:sz="4" w:space="0" w:color="999999"/>
              <w:bottom w:val="single" w:sz="4" w:space="0" w:color="999999"/>
            </w:tcBorders>
            <w:shd w:val="clear" w:color="auto" w:fill="auto"/>
            <w:noWrap/>
            <w:vAlign w:val="center"/>
          </w:tcPr>
          <w:p w14:paraId="55EA6730"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696</w:t>
            </w:r>
          </w:p>
        </w:tc>
        <w:tc>
          <w:tcPr>
            <w:tcW w:w="3600" w:type="dxa"/>
            <w:tcBorders>
              <w:top w:val="single" w:sz="4" w:space="0" w:color="999999"/>
              <w:bottom w:val="single" w:sz="4" w:space="0" w:color="999999"/>
            </w:tcBorders>
            <w:vAlign w:val="center"/>
          </w:tcPr>
          <w:p w14:paraId="1C8578FA"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29 x 24 MWh</w:t>
            </w:r>
          </w:p>
        </w:tc>
      </w:tr>
      <w:tr w:rsidR="0032459E" w:rsidRPr="0032459E" w14:paraId="3AC62A9C"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66D0B9AF" w14:textId="77777777" w:rsidR="0032459E" w:rsidRPr="00710FF8" w:rsidRDefault="0032459E" w:rsidP="001E627E">
            <w:pPr>
              <w:tabs>
                <w:tab w:val="left" w:pos="3500"/>
              </w:tabs>
              <w:spacing w:before="60" w:after="60"/>
              <w:rPr>
                <w:rFonts w:ascii="Arial" w:hAnsi="Arial" w:cs="Arial"/>
                <w:sz w:val="20"/>
                <w:szCs w:val="20"/>
              </w:rPr>
            </w:pPr>
            <w:r w:rsidRPr="00710FF8">
              <w:rPr>
                <w:rFonts w:ascii="Arial" w:hAnsi="Arial" w:cs="Arial"/>
                <w:sz w:val="20"/>
                <w:szCs w:val="20"/>
              </w:rPr>
              <w:t xml:space="preserve">Abril, </w:t>
            </w:r>
            <w:proofErr w:type="spellStart"/>
            <w:r w:rsidRPr="00710FF8">
              <w:rPr>
                <w:rFonts w:ascii="Arial" w:hAnsi="Arial" w:cs="Arial"/>
                <w:sz w:val="20"/>
                <w:szCs w:val="20"/>
              </w:rPr>
              <w:t>junio</w:t>
            </w:r>
            <w:proofErr w:type="spellEnd"/>
            <w:r w:rsidRPr="00710FF8">
              <w:rPr>
                <w:rFonts w:ascii="Arial" w:hAnsi="Arial" w:cs="Arial"/>
                <w:sz w:val="20"/>
                <w:szCs w:val="20"/>
              </w:rPr>
              <w:t xml:space="preserve">, </w:t>
            </w:r>
            <w:proofErr w:type="spellStart"/>
            <w:r w:rsidRPr="00710FF8">
              <w:rPr>
                <w:rFonts w:ascii="Arial" w:hAnsi="Arial" w:cs="Arial"/>
                <w:sz w:val="20"/>
                <w:szCs w:val="20"/>
              </w:rPr>
              <w:t>septiembre</w:t>
            </w:r>
            <w:proofErr w:type="spellEnd"/>
            <w:r w:rsidRPr="00710FF8">
              <w:rPr>
                <w:rFonts w:ascii="Arial" w:hAnsi="Arial" w:cs="Arial"/>
                <w:sz w:val="20"/>
                <w:szCs w:val="20"/>
              </w:rPr>
              <w:t xml:space="preserve">, </w:t>
            </w:r>
            <w:proofErr w:type="spellStart"/>
            <w:r w:rsidRPr="00710FF8">
              <w:rPr>
                <w:rFonts w:ascii="Arial" w:hAnsi="Arial" w:cs="Arial"/>
                <w:sz w:val="20"/>
                <w:szCs w:val="20"/>
              </w:rPr>
              <w:t>noviembre</w:t>
            </w:r>
            <w:proofErr w:type="spellEnd"/>
          </w:p>
        </w:tc>
        <w:tc>
          <w:tcPr>
            <w:tcW w:w="720" w:type="dxa"/>
            <w:tcBorders>
              <w:top w:val="single" w:sz="4" w:space="0" w:color="999999"/>
              <w:bottom w:val="single" w:sz="4" w:space="0" w:color="999999"/>
            </w:tcBorders>
            <w:shd w:val="clear" w:color="auto" w:fill="auto"/>
            <w:noWrap/>
            <w:vAlign w:val="center"/>
          </w:tcPr>
          <w:p w14:paraId="70704A49"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30</w:t>
            </w:r>
          </w:p>
        </w:tc>
        <w:tc>
          <w:tcPr>
            <w:tcW w:w="1200" w:type="dxa"/>
            <w:tcBorders>
              <w:top w:val="single" w:sz="4" w:space="0" w:color="999999"/>
              <w:bottom w:val="single" w:sz="4" w:space="0" w:color="999999"/>
            </w:tcBorders>
            <w:shd w:val="clear" w:color="auto" w:fill="auto"/>
            <w:noWrap/>
            <w:vAlign w:val="center"/>
          </w:tcPr>
          <w:p w14:paraId="1EDEB8F3"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720</w:t>
            </w:r>
          </w:p>
        </w:tc>
        <w:tc>
          <w:tcPr>
            <w:tcW w:w="3600" w:type="dxa"/>
            <w:tcBorders>
              <w:top w:val="single" w:sz="4" w:space="0" w:color="999999"/>
              <w:bottom w:val="single" w:sz="4" w:space="0" w:color="999999"/>
            </w:tcBorders>
            <w:vAlign w:val="center"/>
          </w:tcPr>
          <w:p w14:paraId="616A0171" w14:textId="77777777" w:rsidR="0032459E" w:rsidRPr="00710FF8" w:rsidRDefault="0032459E" w:rsidP="00710FF8">
            <w:pPr>
              <w:tabs>
                <w:tab w:val="left" w:pos="3500"/>
              </w:tabs>
              <w:spacing w:before="60" w:after="60"/>
              <w:jc w:val="center"/>
              <w:rPr>
                <w:rFonts w:ascii="Arial" w:hAnsi="Arial" w:cs="Arial"/>
                <w:sz w:val="20"/>
                <w:szCs w:val="20"/>
              </w:rPr>
            </w:pPr>
            <w:r w:rsidRPr="00710FF8">
              <w:rPr>
                <w:rFonts w:ascii="Arial" w:hAnsi="Arial" w:cs="Arial"/>
                <w:sz w:val="20"/>
                <w:szCs w:val="20"/>
              </w:rPr>
              <w:t>30 x 24 MWh</w:t>
            </w:r>
          </w:p>
        </w:tc>
      </w:tr>
      <w:tr w:rsidR="0032459E" w:rsidRPr="0032459E" w14:paraId="40C2F030"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5F5D855A" w14:textId="77777777" w:rsidR="0032459E" w:rsidRPr="00710FF8" w:rsidRDefault="0032459E" w:rsidP="001E627E">
            <w:pPr>
              <w:tabs>
                <w:tab w:val="left" w:pos="3500"/>
              </w:tabs>
              <w:spacing w:before="60" w:after="60"/>
              <w:rPr>
                <w:rFonts w:ascii="Arial" w:hAnsi="Arial" w:cs="Arial"/>
                <w:sz w:val="20"/>
                <w:szCs w:val="20"/>
                <w:lang w:val="es-ES_tradnl"/>
              </w:rPr>
            </w:pPr>
            <w:r w:rsidRPr="00710FF8">
              <w:rPr>
                <w:rFonts w:ascii="Arial" w:hAnsi="Arial" w:cs="Arial"/>
                <w:sz w:val="20"/>
                <w:szCs w:val="20"/>
                <w:lang w:val="es-ES_tradnl"/>
              </w:rPr>
              <w:t>Enero, mayo, julio, agosto, diciembre</w:t>
            </w:r>
          </w:p>
        </w:tc>
        <w:tc>
          <w:tcPr>
            <w:tcW w:w="720" w:type="dxa"/>
            <w:tcBorders>
              <w:top w:val="single" w:sz="4" w:space="0" w:color="999999"/>
              <w:bottom w:val="single" w:sz="4" w:space="0" w:color="999999"/>
            </w:tcBorders>
            <w:shd w:val="clear" w:color="auto" w:fill="auto"/>
            <w:noWrap/>
            <w:vAlign w:val="center"/>
          </w:tcPr>
          <w:p w14:paraId="21D1B001"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31</w:t>
            </w:r>
          </w:p>
        </w:tc>
        <w:tc>
          <w:tcPr>
            <w:tcW w:w="1200" w:type="dxa"/>
            <w:tcBorders>
              <w:top w:val="single" w:sz="4" w:space="0" w:color="999999"/>
              <w:bottom w:val="single" w:sz="4" w:space="0" w:color="999999"/>
            </w:tcBorders>
            <w:shd w:val="clear" w:color="auto" w:fill="auto"/>
            <w:noWrap/>
            <w:vAlign w:val="center"/>
          </w:tcPr>
          <w:p w14:paraId="0459D5D5"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744</w:t>
            </w:r>
          </w:p>
        </w:tc>
        <w:tc>
          <w:tcPr>
            <w:tcW w:w="3600" w:type="dxa"/>
            <w:tcBorders>
              <w:top w:val="single" w:sz="4" w:space="0" w:color="999999"/>
              <w:bottom w:val="single" w:sz="4" w:space="0" w:color="999999"/>
            </w:tcBorders>
            <w:vAlign w:val="center"/>
          </w:tcPr>
          <w:p w14:paraId="056CFA17"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31 x 24 MWh</w:t>
            </w:r>
          </w:p>
        </w:tc>
      </w:tr>
      <w:tr w:rsidR="0032459E" w:rsidRPr="0032459E" w14:paraId="2EE328BE"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1185453F" w14:textId="77777777" w:rsidR="0032459E" w:rsidRPr="00710FF8" w:rsidRDefault="0032459E" w:rsidP="001E627E">
            <w:pPr>
              <w:tabs>
                <w:tab w:val="left" w:pos="3500"/>
              </w:tabs>
              <w:spacing w:before="60" w:after="60"/>
              <w:rPr>
                <w:rFonts w:ascii="Arial" w:hAnsi="Arial" w:cs="Arial"/>
                <w:sz w:val="20"/>
                <w:szCs w:val="20"/>
              </w:rPr>
            </w:pPr>
            <w:proofErr w:type="spellStart"/>
            <w:r w:rsidRPr="00710FF8">
              <w:rPr>
                <w:rFonts w:ascii="Arial" w:hAnsi="Arial" w:cs="Arial"/>
                <w:sz w:val="20"/>
                <w:szCs w:val="20"/>
              </w:rPr>
              <w:t>Marzo</w:t>
            </w:r>
            <w:proofErr w:type="spellEnd"/>
          </w:p>
        </w:tc>
        <w:tc>
          <w:tcPr>
            <w:tcW w:w="720" w:type="dxa"/>
            <w:tcBorders>
              <w:top w:val="single" w:sz="4" w:space="0" w:color="999999"/>
              <w:bottom w:val="single" w:sz="4" w:space="0" w:color="999999"/>
            </w:tcBorders>
            <w:shd w:val="clear" w:color="auto" w:fill="auto"/>
            <w:noWrap/>
            <w:vAlign w:val="center"/>
          </w:tcPr>
          <w:p w14:paraId="40BE3344"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31</w:t>
            </w:r>
          </w:p>
        </w:tc>
        <w:tc>
          <w:tcPr>
            <w:tcW w:w="1200" w:type="dxa"/>
            <w:tcBorders>
              <w:top w:val="single" w:sz="4" w:space="0" w:color="999999"/>
              <w:bottom w:val="single" w:sz="4" w:space="0" w:color="999999"/>
            </w:tcBorders>
            <w:shd w:val="clear" w:color="auto" w:fill="auto"/>
            <w:noWrap/>
            <w:vAlign w:val="center"/>
          </w:tcPr>
          <w:p w14:paraId="5BC18614"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743</w:t>
            </w:r>
          </w:p>
        </w:tc>
        <w:tc>
          <w:tcPr>
            <w:tcW w:w="3600" w:type="dxa"/>
            <w:tcBorders>
              <w:top w:val="single" w:sz="4" w:space="0" w:color="999999"/>
              <w:bottom w:val="single" w:sz="4" w:space="0" w:color="999999"/>
            </w:tcBorders>
            <w:vAlign w:val="center"/>
          </w:tcPr>
          <w:p w14:paraId="2A4186F5"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30 x 24 MWh + 23 MWh</w:t>
            </w:r>
          </w:p>
        </w:tc>
      </w:tr>
      <w:tr w:rsidR="0032459E" w:rsidRPr="0032459E" w14:paraId="48DF8972"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5B9EBC4A" w14:textId="77777777" w:rsidR="0032459E" w:rsidRPr="00710FF8" w:rsidRDefault="0032459E" w:rsidP="001E627E">
            <w:pPr>
              <w:tabs>
                <w:tab w:val="left" w:pos="3500"/>
              </w:tabs>
              <w:spacing w:before="60" w:after="60"/>
              <w:rPr>
                <w:rFonts w:ascii="Arial" w:hAnsi="Arial" w:cs="Arial"/>
                <w:sz w:val="20"/>
                <w:szCs w:val="20"/>
              </w:rPr>
            </w:pPr>
            <w:proofErr w:type="spellStart"/>
            <w:r w:rsidRPr="00710FF8">
              <w:rPr>
                <w:rFonts w:ascii="Arial" w:hAnsi="Arial" w:cs="Arial"/>
                <w:sz w:val="20"/>
                <w:szCs w:val="20"/>
              </w:rPr>
              <w:t>Octubre</w:t>
            </w:r>
            <w:proofErr w:type="spellEnd"/>
          </w:p>
        </w:tc>
        <w:tc>
          <w:tcPr>
            <w:tcW w:w="720" w:type="dxa"/>
            <w:tcBorders>
              <w:top w:val="single" w:sz="4" w:space="0" w:color="999999"/>
              <w:bottom w:val="single" w:sz="4" w:space="0" w:color="999999"/>
            </w:tcBorders>
            <w:shd w:val="clear" w:color="auto" w:fill="auto"/>
            <w:noWrap/>
            <w:vAlign w:val="center"/>
          </w:tcPr>
          <w:p w14:paraId="73AA56B8"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31</w:t>
            </w:r>
          </w:p>
        </w:tc>
        <w:tc>
          <w:tcPr>
            <w:tcW w:w="1200" w:type="dxa"/>
            <w:tcBorders>
              <w:top w:val="single" w:sz="4" w:space="0" w:color="999999"/>
              <w:bottom w:val="single" w:sz="4" w:space="0" w:color="999999"/>
            </w:tcBorders>
            <w:shd w:val="clear" w:color="auto" w:fill="auto"/>
            <w:noWrap/>
            <w:vAlign w:val="center"/>
          </w:tcPr>
          <w:p w14:paraId="68CDCA00"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745</w:t>
            </w:r>
          </w:p>
        </w:tc>
        <w:tc>
          <w:tcPr>
            <w:tcW w:w="3600" w:type="dxa"/>
            <w:tcBorders>
              <w:top w:val="single" w:sz="4" w:space="0" w:color="999999"/>
              <w:bottom w:val="single" w:sz="4" w:space="0" w:color="999999"/>
            </w:tcBorders>
            <w:vAlign w:val="center"/>
          </w:tcPr>
          <w:p w14:paraId="39CB5743"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30 x 24 MWh + 25 MWh</w:t>
            </w:r>
          </w:p>
        </w:tc>
      </w:tr>
      <w:tr w:rsidR="0032459E" w:rsidRPr="0032459E" w14:paraId="3EE00B37" w14:textId="77777777" w:rsidTr="00710FF8">
        <w:trPr>
          <w:trHeight w:val="255"/>
          <w:jc w:val="center"/>
        </w:trPr>
        <w:tc>
          <w:tcPr>
            <w:tcW w:w="2895" w:type="dxa"/>
            <w:tcBorders>
              <w:top w:val="single" w:sz="4" w:space="0" w:color="999999"/>
            </w:tcBorders>
            <w:shd w:val="clear" w:color="auto" w:fill="auto"/>
            <w:noWrap/>
            <w:vAlign w:val="center"/>
          </w:tcPr>
          <w:p w14:paraId="42A8A7AA" w14:textId="77777777" w:rsidR="0032459E" w:rsidRDefault="0032459E" w:rsidP="00A5243A">
            <w:pPr>
              <w:pStyle w:val="Corpodetexto"/>
              <w:spacing w:line="360" w:lineRule="auto"/>
              <w:jc w:val="left"/>
              <w:rPr>
                <w:sz w:val="20"/>
                <w:szCs w:val="20"/>
                <w:lang w:val="es-ES"/>
              </w:rPr>
            </w:pPr>
          </w:p>
          <w:p w14:paraId="5B350903" w14:textId="77777777" w:rsidR="009117F1" w:rsidRDefault="009117F1" w:rsidP="00A5243A">
            <w:pPr>
              <w:pStyle w:val="Corpodetexto"/>
              <w:spacing w:line="360" w:lineRule="auto"/>
              <w:jc w:val="left"/>
              <w:rPr>
                <w:sz w:val="20"/>
                <w:szCs w:val="20"/>
                <w:lang w:val="es-ES"/>
              </w:rPr>
            </w:pPr>
          </w:p>
          <w:p w14:paraId="1CA79348" w14:textId="77777777" w:rsidR="009117F1" w:rsidRDefault="009117F1" w:rsidP="00A5243A">
            <w:pPr>
              <w:pStyle w:val="Corpodetexto"/>
              <w:spacing w:line="360" w:lineRule="auto"/>
              <w:jc w:val="left"/>
              <w:rPr>
                <w:sz w:val="20"/>
                <w:szCs w:val="20"/>
                <w:lang w:val="es-ES"/>
              </w:rPr>
            </w:pPr>
          </w:p>
          <w:p w14:paraId="63C9E6CE" w14:textId="77777777" w:rsidR="009117F1" w:rsidRDefault="009117F1" w:rsidP="00A5243A">
            <w:pPr>
              <w:pStyle w:val="Corpodetexto"/>
              <w:spacing w:line="360" w:lineRule="auto"/>
              <w:jc w:val="left"/>
              <w:rPr>
                <w:sz w:val="20"/>
                <w:szCs w:val="20"/>
                <w:lang w:val="es-ES"/>
              </w:rPr>
            </w:pPr>
          </w:p>
          <w:p w14:paraId="53A848C6" w14:textId="77777777" w:rsidR="009117F1" w:rsidRPr="0032459E" w:rsidRDefault="009117F1" w:rsidP="00A5243A">
            <w:pPr>
              <w:pStyle w:val="Corpodetexto"/>
              <w:spacing w:line="360" w:lineRule="auto"/>
              <w:jc w:val="left"/>
              <w:rPr>
                <w:sz w:val="20"/>
                <w:szCs w:val="20"/>
                <w:lang w:val="es-ES"/>
              </w:rPr>
            </w:pPr>
          </w:p>
        </w:tc>
        <w:tc>
          <w:tcPr>
            <w:tcW w:w="720" w:type="dxa"/>
            <w:tcBorders>
              <w:top w:val="single" w:sz="4" w:space="0" w:color="999999"/>
            </w:tcBorders>
            <w:shd w:val="clear" w:color="auto" w:fill="auto"/>
            <w:noWrap/>
            <w:vAlign w:val="center"/>
          </w:tcPr>
          <w:p w14:paraId="79FCA8E5" w14:textId="77777777" w:rsidR="0032459E" w:rsidRPr="0032459E" w:rsidRDefault="0032459E" w:rsidP="00A5243A">
            <w:pPr>
              <w:pStyle w:val="Corpodetexto"/>
              <w:spacing w:line="360" w:lineRule="auto"/>
              <w:jc w:val="center"/>
              <w:rPr>
                <w:sz w:val="20"/>
                <w:szCs w:val="20"/>
                <w:lang w:val="es-ES"/>
              </w:rPr>
            </w:pPr>
          </w:p>
        </w:tc>
        <w:tc>
          <w:tcPr>
            <w:tcW w:w="1200" w:type="dxa"/>
            <w:tcBorders>
              <w:top w:val="single" w:sz="4" w:space="0" w:color="999999"/>
            </w:tcBorders>
            <w:shd w:val="clear" w:color="auto" w:fill="auto"/>
            <w:noWrap/>
            <w:vAlign w:val="center"/>
          </w:tcPr>
          <w:p w14:paraId="6CE858A4" w14:textId="77777777" w:rsidR="0032459E" w:rsidRPr="0032459E" w:rsidRDefault="0032459E" w:rsidP="00A5243A">
            <w:pPr>
              <w:pStyle w:val="Corpodetexto"/>
              <w:spacing w:line="360" w:lineRule="auto"/>
              <w:jc w:val="center"/>
              <w:rPr>
                <w:sz w:val="20"/>
                <w:szCs w:val="20"/>
                <w:lang w:val="es-ES"/>
              </w:rPr>
            </w:pPr>
          </w:p>
        </w:tc>
        <w:tc>
          <w:tcPr>
            <w:tcW w:w="3600" w:type="dxa"/>
            <w:tcBorders>
              <w:top w:val="single" w:sz="4" w:space="0" w:color="999999"/>
            </w:tcBorders>
            <w:vAlign w:val="center"/>
          </w:tcPr>
          <w:p w14:paraId="289D8ABC" w14:textId="77777777" w:rsidR="0032459E" w:rsidRPr="0032459E" w:rsidRDefault="0032459E" w:rsidP="00A5243A">
            <w:pPr>
              <w:pStyle w:val="Corpodetexto"/>
              <w:spacing w:line="360" w:lineRule="auto"/>
              <w:jc w:val="left"/>
              <w:rPr>
                <w:sz w:val="20"/>
                <w:szCs w:val="20"/>
                <w:lang w:val="es-ES"/>
              </w:rPr>
            </w:pPr>
          </w:p>
        </w:tc>
      </w:tr>
      <w:tr w:rsidR="0032459E" w:rsidRPr="00710FF8" w14:paraId="30F3EF99" w14:textId="77777777" w:rsidTr="00710FF8">
        <w:trPr>
          <w:trHeight w:val="255"/>
          <w:jc w:val="center"/>
        </w:trPr>
        <w:tc>
          <w:tcPr>
            <w:tcW w:w="2895" w:type="dxa"/>
            <w:tcBorders>
              <w:bottom w:val="single" w:sz="4" w:space="0" w:color="999999"/>
            </w:tcBorders>
            <w:shd w:val="clear" w:color="auto" w:fill="auto"/>
            <w:noWrap/>
            <w:vAlign w:val="bottom"/>
          </w:tcPr>
          <w:p w14:paraId="341B0A4F" w14:textId="77777777" w:rsidR="0032459E" w:rsidRPr="00710FF8" w:rsidRDefault="0032459E" w:rsidP="00710FF8">
            <w:pPr>
              <w:tabs>
                <w:tab w:val="left" w:pos="3500"/>
              </w:tabs>
              <w:spacing w:before="60" w:after="60"/>
              <w:jc w:val="both"/>
              <w:rPr>
                <w:rFonts w:ascii="Arial" w:hAnsi="Arial" w:cs="Arial"/>
                <w:b/>
                <w:sz w:val="20"/>
                <w:szCs w:val="20"/>
              </w:rPr>
            </w:pPr>
            <w:proofErr w:type="spellStart"/>
            <w:r w:rsidRPr="00710FF8">
              <w:rPr>
                <w:rFonts w:ascii="Arial" w:hAnsi="Arial" w:cs="Arial"/>
                <w:b/>
                <w:sz w:val="20"/>
                <w:szCs w:val="20"/>
              </w:rPr>
              <w:lastRenderedPageBreak/>
              <w:t>Contratos</w:t>
            </w:r>
            <w:proofErr w:type="spellEnd"/>
            <w:r w:rsidRPr="00710FF8">
              <w:rPr>
                <w:rFonts w:ascii="Arial" w:hAnsi="Arial" w:cs="Arial"/>
                <w:b/>
                <w:sz w:val="20"/>
                <w:szCs w:val="20"/>
              </w:rPr>
              <w:t xml:space="preserve"> </w:t>
            </w:r>
            <w:proofErr w:type="spellStart"/>
            <w:r w:rsidRPr="00710FF8">
              <w:rPr>
                <w:rFonts w:ascii="Arial" w:hAnsi="Arial" w:cs="Arial"/>
                <w:b/>
                <w:sz w:val="20"/>
                <w:szCs w:val="20"/>
              </w:rPr>
              <w:t>Trimestre</w:t>
            </w:r>
            <w:proofErr w:type="spellEnd"/>
          </w:p>
        </w:tc>
        <w:tc>
          <w:tcPr>
            <w:tcW w:w="720" w:type="dxa"/>
            <w:tcBorders>
              <w:bottom w:val="single" w:sz="4" w:space="0" w:color="999999"/>
            </w:tcBorders>
            <w:shd w:val="clear" w:color="auto" w:fill="auto"/>
            <w:noWrap/>
            <w:vAlign w:val="bottom"/>
          </w:tcPr>
          <w:p w14:paraId="0C673D90" w14:textId="77777777" w:rsidR="0032459E" w:rsidRPr="00710FF8" w:rsidRDefault="0032459E" w:rsidP="001E627E">
            <w:pPr>
              <w:tabs>
                <w:tab w:val="left" w:pos="3500"/>
              </w:tabs>
              <w:spacing w:before="60" w:after="60"/>
              <w:jc w:val="center"/>
              <w:rPr>
                <w:rFonts w:ascii="Arial" w:hAnsi="Arial" w:cs="Arial"/>
                <w:b/>
                <w:sz w:val="20"/>
                <w:szCs w:val="20"/>
              </w:rPr>
            </w:pPr>
            <w:r w:rsidRPr="00710FF8">
              <w:rPr>
                <w:rFonts w:ascii="Arial" w:hAnsi="Arial" w:cs="Arial"/>
                <w:b/>
                <w:sz w:val="20"/>
                <w:szCs w:val="20"/>
              </w:rPr>
              <w:t>Días</w:t>
            </w:r>
          </w:p>
        </w:tc>
        <w:tc>
          <w:tcPr>
            <w:tcW w:w="1200" w:type="dxa"/>
            <w:tcBorders>
              <w:bottom w:val="single" w:sz="4" w:space="0" w:color="999999"/>
            </w:tcBorders>
            <w:shd w:val="clear" w:color="auto" w:fill="auto"/>
            <w:noWrap/>
            <w:vAlign w:val="bottom"/>
          </w:tcPr>
          <w:p w14:paraId="6FB16E03" w14:textId="77777777" w:rsidR="0032459E" w:rsidRPr="00710FF8" w:rsidRDefault="0032459E" w:rsidP="001E627E">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Valor</w:t>
            </w:r>
            <w:proofErr w:type="spellEnd"/>
            <w:r w:rsidRPr="00710FF8">
              <w:rPr>
                <w:rFonts w:ascii="Arial" w:hAnsi="Arial" w:cs="Arial"/>
                <w:b/>
                <w:sz w:val="20"/>
                <w:szCs w:val="20"/>
              </w:rPr>
              <w:t xml:space="preserve"> Nominal (MWh)</w:t>
            </w:r>
          </w:p>
        </w:tc>
        <w:tc>
          <w:tcPr>
            <w:tcW w:w="3600" w:type="dxa"/>
            <w:tcBorders>
              <w:bottom w:val="single" w:sz="4" w:space="0" w:color="999999"/>
            </w:tcBorders>
            <w:vAlign w:val="bottom"/>
          </w:tcPr>
          <w:p w14:paraId="04D66BD8" w14:textId="77777777" w:rsidR="0032459E" w:rsidRPr="00710FF8" w:rsidRDefault="0032459E" w:rsidP="001E627E">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Descripción</w:t>
            </w:r>
            <w:proofErr w:type="spellEnd"/>
          </w:p>
        </w:tc>
      </w:tr>
      <w:tr w:rsidR="0032459E" w:rsidRPr="0032459E" w14:paraId="736F08BA"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193B87EB" w14:textId="77777777" w:rsidR="0032459E" w:rsidRPr="00710FF8" w:rsidRDefault="0032459E" w:rsidP="00710FF8">
            <w:pPr>
              <w:tabs>
                <w:tab w:val="left" w:pos="3500"/>
              </w:tabs>
              <w:spacing w:before="60" w:after="60"/>
              <w:jc w:val="both"/>
              <w:rPr>
                <w:rFonts w:ascii="Arial" w:hAnsi="Arial" w:cs="Arial"/>
                <w:sz w:val="20"/>
                <w:szCs w:val="20"/>
              </w:rPr>
            </w:pPr>
            <w:r w:rsidRPr="00710FF8">
              <w:rPr>
                <w:rFonts w:ascii="Arial" w:hAnsi="Arial" w:cs="Arial"/>
                <w:sz w:val="20"/>
                <w:szCs w:val="20"/>
              </w:rPr>
              <w:t>1</w:t>
            </w:r>
            <w:r w:rsidRPr="001E627E">
              <w:rPr>
                <w:rFonts w:ascii="Arial" w:hAnsi="Arial" w:cs="Arial"/>
                <w:sz w:val="20"/>
                <w:szCs w:val="20"/>
                <w:vertAlign w:val="superscript"/>
              </w:rPr>
              <w:t>er</w:t>
            </w:r>
            <w:r w:rsidRPr="00710FF8">
              <w:rPr>
                <w:rFonts w:ascii="Arial" w:hAnsi="Arial" w:cs="Arial"/>
                <w:sz w:val="20"/>
                <w:szCs w:val="20"/>
              </w:rPr>
              <w:t xml:space="preserve"> </w:t>
            </w:r>
            <w:proofErr w:type="spellStart"/>
            <w:r w:rsidRPr="00710FF8">
              <w:rPr>
                <w:rFonts w:ascii="Arial" w:hAnsi="Arial" w:cs="Arial"/>
                <w:sz w:val="20"/>
                <w:szCs w:val="20"/>
              </w:rPr>
              <w:t>trimestre</w:t>
            </w:r>
            <w:proofErr w:type="spellEnd"/>
          </w:p>
        </w:tc>
        <w:tc>
          <w:tcPr>
            <w:tcW w:w="720" w:type="dxa"/>
            <w:tcBorders>
              <w:top w:val="single" w:sz="4" w:space="0" w:color="999999"/>
              <w:bottom w:val="single" w:sz="4" w:space="0" w:color="999999"/>
            </w:tcBorders>
            <w:shd w:val="clear" w:color="auto" w:fill="auto"/>
            <w:noWrap/>
            <w:vAlign w:val="center"/>
          </w:tcPr>
          <w:p w14:paraId="1BD9F2DA"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90</w:t>
            </w:r>
          </w:p>
        </w:tc>
        <w:tc>
          <w:tcPr>
            <w:tcW w:w="1200" w:type="dxa"/>
            <w:tcBorders>
              <w:top w:val="single" w:sz="4" w:space="0" w:color="999999"/>
              <w:bottom w:val="single" w:sz="4" w:space="0" w:color="999999"/>
            </w:tcBorders>
            <w:shd w:val="clear" w:color="auto" w:fill="auto"/>
            <w:noWrap/>
            <w:vAlign w:val="center"/>
          </w:tcPr>
          <w:p w14:paraId="13465CAE"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2159</w:t>
            </w:r>
          </w:p>
        </w:tc>
        <w:tc>
          <w:tcPr>
            <w:tcW w:w="3600" w:type="dxa"/>
            <w:tcBorders>
              <w:top w:val="single" w:sz="4" w:space="0" w:color="999999"/>
              <w:bottom w:val="single" w:sz="4" w:space="0" w:color="999999"/>
            </w:tcBorders>
            <w:vAlign w:val="center"/>
          </w:tcPr>
          <w:p w14:paraId="0D5E3DA1"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89 x 24 MWh + 23 MWh</w:t>
            </w:r>
          </w:p>
        </w:tc>
      </w:tr>
      <w:tr w:rsidR="0032459E" w:rsidRPr="0032459E" w14:paraId="4DC6E230"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05AEAD1A" w14:textId="77777777" w:rsidR="0032459E" w:rsidRPr="00710FF8" w:rsidRDefault="0032459E" w:rsidP="00710FF8">
            <w:pPr>
              <w:tabs>
                <w:tab w:val="left" w:pos="3500"/>
              </w:tabs>
              <w:spacing w:before="60" w:after="60"/>
              <w:jc w:val="both"/>
              <w:rPr>
                <w:rFonts w:ascii="Arial" w:hAnsi="Arial" w:cs="Arial"/>
                <w:sz w:val="20"/>
                <w:szCs w:val="20"/>
              </w:rPr>
            </w:pPr>
            <w:r w:rsidRPr="00710FF8">
              <w:rPr>
                <w:rFonts w:ascii="Arial" w:hAnsi="Arial" w:cs="Arial"/>
                <w:sz w:val="20"/>
                <w:szCs w:val="20"/>
              </w:rPr>
              <w:t>1</w:t>
            </w:r>
            <w:r w:rsidRPr="001E627E">
              <w:rPr>
                <w:rFonts w:ascii="Arial" w:hAnsi="Arial" w:cs="Arial"/>
                <w:sz w:val="20"/>
                <w:szCs w:val="20"/>
                <w:vertAlign w:val="superscript"/>
              </w:rPr>
              <w:t>er</w:t>
            </w:r>
            <w:r w:rsidRPr="00710FF8">
              <w:rPr>
                <w:rFonts w:ascii="Arial" w:hAnsi="Arial" w:cs="Arial"/>
                <w:sz w:val="20"/>
                <w:szCs w:val="20"/>
              </w:rPr>
              <w:t xml:space="preserve"> </w:t>
            </w:r>
            <w:proofErr w:type="spellStart"/>
            <w:r w:rsidRPr="00710FF8">
              <w:rPr>
                <w:rFonts w:ascii="Arial" w:hAnsi="Arial" w:cs="Arial"/>
                <w:sz w:val="20"/>
                <w:szCs w:val="20"/>
              </w:rPr>
              <w:t>trimestre</w:t>
            </w:r>
            <w:proofErr w:type="spellEnd"/>
            <w:r w:rsidRPr="00710FF8">
              <w:rPr>
                <w:rFonts w:ascii="Arial" w:hAnsi="Arial" w:cs="Arial"/>
                <w:sz w:val="20"/>
                <w:szCs w:val="20"/>
              </w:rPr>
              <w:t xml:space="preserve"> (</w:t>
            </w:r>
            <w:proofErr w:type="spellStart"/>
            <w:r w:rsidRPr="00710FF8">
              <w:rPr>
                <w:rFonts w:ascii="Arial" w:hAnsi="Arial" w:cs="Arial"/>
                <w:sz w:val="20"/>
                <w:szCs w:val="20"/>
              </w:rPr>
              <w:t>año</w:t>
            </w:r>
            <w:proofErr w:type="spellEnd"/>
            <w:r w:rsidRPr="00710FF8">
              <w:rPr>
                <w:rFonts w:ascii="Arial" w:hAnsi="Arial" w:cs="Arial"/>
                <w:sz w:val="20"/>
                <w:szCs w:val="20"/>
              </w:rPr>
              <w:t xml:space="preserve"> </w:t>
            </w:r>
            <w:proofErr w:type="spellStart"/>
            <w:r w:rsidRPr="00710FF8">
              <w:rPr>
                <w:rFonts w:ascii="Arial" w:hAnsi="Arial" w:cs="Arial"/>
                <w:sz w:val="20"/>
                <w:szCs w:val="20"/>
              </w:rPr>
              <w:t>bisiesto</w:t>
            </w:r>
            <w:proofErr w:type="spellEnd"/>
            <w:r w:rsidRPr="00710FF8">
              <w:rPr>
                <w:rFonts w:ascii="Arial" w:hAnsi="Arial" w:cs="Arial"/>
                <w:sz w:val="20"/>
                <w:szCs w:val="20"/>
              </w:rPr>
              <w:t>)</w:t>
            </w:r>
          </w:p>
        </w:tc>
        <w:tc>
          <w:tcPr>
            <w:tcW w:w="720" w:type="dxa"/>
            <w:tcBorders>
              <w:top w:val="single" w:sz="4" w:space="0" w:color="999999"/>
              <w:bottom w:val="single" w:sz="4" w:space="0" w:color="999999"/>
            </w:tcBorders>
            <w:shd w:val="clear" w:color="auto" w:fill="auto"/>
            <w:noWrap/>
            <w:vAlign w:val="center"/>
          </w:tcPr>
          <w:p w14:paraId="193376B8"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91</w:t>
            </w:r>
          </w:p>
        </w:tc>
        <w:tc>
          <w:tcPr>
            <w:tcW w:w="1200" w:type="dxa"/>
            <w:tcBorders>
              <w:top w:val="single" w:sz="4" w:space="0" w:color="999999"/>
              <w:bottom w:val="single" w:sz="4" w:space="0" w:color="999999"/>
            </w:tcBorders>
            <w:shd w:val="clear" w:color="auto" w:fill="auto"/>
            <w:noWrap/>
            <w:vAlign w:val="center"/>
          </w:tcPr>
          <w:p w14:paraId="665E3421"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2183</w:t>
            </w:r>
          </w:p>
        </w:tc>
        <w:tc>
          <w:tcPr>
            <w:tcW w:w="3600" w:type="dxa"/>
            <w:tcBorders>
              <w:top w:val="single" w:sz="4" w:space="0" w:color="999999"/>
              <w:bottom w:val="single" w:sz="4" w:space="0" w:color="999999"/>
            </w:tcBorders>
            <w:vAlign w:val="center"/>
          </w:tcPr>
          <w:p w14:paraId="4702B42C"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90 x 24 MWh + 23 MWh</w:t>
            </w:r>
          </w:p>
        </w:tc>
      </w:tr>
      <w:tr w:rsidR="0032459E" w:rsidRPr="0032459E" w14:paraId="75CCDCDA"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61E01BFC" w14:textId="77777777" w:rsidR="0032459E" w:rsidRPr="00710FF8" w:rsidRDefault="0032459E" w:rsidP="00710FF8">
            <w:pPr>
              <w:tabs>
                <w:tab w:val="left" w:pos="3500"/>
              </w:tabs>
              <w:spacing w:before="60" w:after="60"/>
              <w:jc w:val="both"/>
              <w:rPr>
                <w:rFonts w:ascii="Arial" w:hAnsi="Arial" w:cs="Arial"/>
                <w:sz w:val="20"/>
                <w:szCs w:val="20"/>
              </w:rPr>
            </w:pPr>
            <w:r w:rsidRPr="00710FF8">
              <w:rPr>
                <w:rFonts w:ascii="Arial" w:hAnsi="Arial" w:cs="Arial"/>
                <w:sz w:val="20"/>
                <w:szCs w:val="20"/>
              </w:rPr>
              <w:t xml:space="preserve">2º </w:t>
            </w:r>
            <w:proofErr w:type="spellStart"/>
            <w:r w:rsidRPr="00710FF8">
              <w:rPr>
                <w:rFonts w:ascii="Arial" w:hAnsi="Arial" w:cs="Arial"/>
                <w:sz w:val="20"/>
                <w:szCs w:val="20"/>
              </w:rPr>
              <w:t>trimestre</w:t>
            </w:r>
            <w:proofErr w:type="spellEnd"/>
          </w:p>
        </w:tc>
        <w:tc>
          <w:tcPr>
            <w:tcW w:w="720" w:type="dxa"/>
            <w:tcBorders>
              <w:top w:val="single" w:sz="4" w:space="0" w:color="999999"/>
              <w:bottom w:val="single" w:sz="4" w:space="0" w:color="999999"/>
            </w:tcBorders>
            <w:shd w:val="clear" w:color="auto" w:fill="auto"/>
            <w:noWrap/>
            <w:vAlign w:val="center"/>
          </w:tcPr>
          <w:p w14:paraId="6D9E7680"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91</w:t>
            </w:r>
          </w:p>
        </w:tc>
        <w:tc>
          <w:tcPr>
            <w:tcW w:w="1200" w:type="dxa"/>
            <w:tcBorders>
              <w:top w:val="single" w:sz="4" w:space="0" w:color="999999"/>
              <w:bottom w:val="single" w:sz="4" w:space="0" w:color="999999"/>
            </w:tcBorders>
            <w:shd w:val="clear" w:color="auto" w:fill="auto"/>
            <w:noWrap/>
            <w:vAlign w:val="center"/>
          </w:tcPr>
          <w:p w14:paraId="7334F22D"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2184</w:t>
            </w:r>
          </w:p>
        </w:tc>
        <w:tc>
          <w:tcPr>
            <w:tcW w:w="3600" w:type="dxa"/>
            <w:tcBorders>
              <w:top w:val="single" w:sz="4" w:space="0" w:color="999999"/>
              <w:bottom w:val="single" w:sz="4" w:space="0" w:color="999999"/>
            </w:tcBorders>
            <w:vAlign w:val="center"/>
          </w:tcPr>
          <w:p w14:paraId="513B94EB"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91 x 24 MWh</w:t>
            </w:r>
          </w:p>
        </w:tc>
      </w:tr>
      <w:tr w:rsidR="0032459E" w:rsidRPr="0032459E" w14:paraId="5203A874"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4F417D19" w14:textId="77777777" w:rsidR="0032459E" w:rsidRPr="00710FF8" w:rsidRDefault="0032459E" w:rsidP="00710FF8">
            <w:pPr>
              <w:tabs>
                <w:tab w:val="left" w:pos="3500"/>
              </w:tabs>
              <w:spacing w:before="60" w:after="60"/>
              <w:jc w:val="both"/>
              <w:rPr>
                <w:rFonts w:ascii="Arial" w:hAnsi="Arial" w:cs="Arial"/>
                <w:sz w:val="20"/>
                <w:szCs w:val="20"/>
              </w:rPr>
            </w:pPr>
            <w:r w:rsidRPr="00710FF8">
              <w:rPr>
                <w:rFonts w:ascii="Arial" w:hAnsi="Arial" w:cs="Arial"/>
                <w:sz w:val="20"/>
                <w:szCs w:val="20"/>
              </w:rPr>
              <w:t>3</w:t>
            </w:r>
            <w:r w:rsidRPr="001E627E">
              <w:rPr>
                <w:rFonts w:ascii="Arial" w:hAnsi="Arial" w:cs="Arial"/>
                <w:sz w:val="20"/>
                <w:szCs w:val="20"/>
                <w:vertAlign w:val="superscript"/>
              </w:rPr>
              <w:t>er</w:t>
            </w:r>
            <w:r w:rsidRPr="00710FF8">
              <w:rPr>
                <w:rFonts w:ascii="Arial" w:hAnsi="Arial" w:cs="Arial"/>
                <w:sz w:val="20"/>
                <w:szCs w:val="20"/>
              </w:rPr>
              <w:t xml:space="preserve"> </w:t>
            </w:r>
            <w:proofErr w:type="spellStart"/>
            <w:r w:rsidRPr="00710FF8">
              <w:rPr>
                <w:rFonts w:ascii="Arial" w:hAnsi="Arial" w:cs="Arial"/>
                <w:sz w:val="20"/>
                <w:szCs w:val="20"/>
              </w:rPr>
              <w:t>trimestre</w:t>
            </w:r>
            <w:proofErr w:type="spellEnd"/>
          </w:p>
        </w:tc>
        <w:tc>
          <w:tcPr>
            <w:tcW w:w="720" w:type="dxa"/>
            <w:tcBorders>
              <w:top w:val="single" w:sz="4" w:space="0" w:color="999999"/>
              <w:bottom w:val="single" w:sz="4" w:space="0" w:color="999999"/>
            </w:tcBorders>
            <w:shd w:val="clear" w:color="auto" w:fill="auto"/>
            <w:noWrap/>
            <w:vAlign w:val="center"/>
          </w:tcPr>
          <w:p w14:paraId="1E69031F"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92</w:t>
            </w:r>
          </w:p>
        </w:tc>
        <w:tc>
          <w:tcPr>
            <w:tcW w:w="1200" w:type="dxa"/>
            <w:tcBorders>
              <w:top w:val="single" w:sz="4" w:space="0" w:color="999999"/>
              <w:bottom w:val="single" w:sz="4" w:space="0" w:color="999999"/>
            </w:tcBorders>
            <w:shd w:val="clear" w:color="auto" w:fill="auto"/>
            <w:noWrap/>
            <w:vAlign w:val="center"/>
          </w:tcPr>
          <w:p w14:paraId="3DA98A56"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2208</w:t>
            </w:r>
          </w:p>
        </w:tc>
        <w:tc>
          <w:tcPr>
            <w:tcW w:w="3600" w:type="dxa"/>
            <w:tcBorders>
              <w:top w:val="single" w:sz="4" w:space="0" w:color="999999"/>
              <w:bottom w:val="single" w:sz="4" w:space="0" w:color="999999"/>
            </w:tcBorders>
            <w:vAlign w:val="center"/>
          </w:tcPr>
          <w:p w14:paraId="2C2CE96C"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92 x 24 MWh</w:t>
            </w:r>
          </w:p>
        </w:tc>
      </w:tr>
      <w:tr w:rsidR="0032459E" w:rsidRPr="0032459E" w14:paraId="491B4A64"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71624A45" w14:textId="77777777" w:rsidR="0032459E" w:rsidRPr="00710FF8" w:rsidRDefault="0032459E" w:rsidP="00710FF8">
            <w:pPr>
              <w:tabs>
                <w:tab w:val="left" w:pos="3500"/>
              </w:tabs>
              <w:spacing w:before="60" w:after="60"/>
              <w:jc w:val="both"/>
              <w:rPr>
                <w:rFonts w:ascii="Arial" w:hAnsi="Arial" w:cs="Arial"/>
                <w:sz w:val="20"/>
                <w:szCs w:val="20"/>
              </w:rPr>
            </w:pPr>
            <w:r w:rsidRPr="00710FF8">
              <w:rPr>
                <w:rFonts w:ascii="Arial" w:hAnsi="Arial" w:cs="Arial"/>
                <w:sz w:val="20"/>
                <w:szCs w:val="20"/>
              </w:rPr>
              <w:t xml:space="preserve">4º </w:t>
            </w:r>
            <w:proofErr w:type="spellStart"/>
            <w:r w:rsidRPr="00710FF8">
              <w:rPr>
                <w:rFonts w:ascii="Arial" w:hAnsi="Arial" w:cs="Arial"/>
                <w:sz w:val="20"/>
                <w:szCs w:val="20"/>
              </w:rPr>
              <w:t>trimestre</w:t>
            </w:r>
            <w:proofErr w:type="spellEnd"/>
          </w:p>
        </w:tc>
        <w:tc>
          <w:tcPr>
            <w:tcW w:w="720" w:type="dxa"/>
            <w:tcBorders>
              <w:top w:val="single" w:sz="4" w:space="0" w:color="999999"/>
              <w:bottom w:val="single" w:sz="4" w:space="0" w:color="999999"/>
            </w:tcBorders>
            <w:shd w:val="clear" w:color="auto" w:fill="auto"/>
            <w:noWrap/>
            <w:vAlign w:val="center"/>
          </w:tcPr>
          <w:p w14:paraId="62C83AFE"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92</w:t>
            </w:r>
          </w:p>
        </w:tc>
        <w:tc>
          <w:tcPr>
            <w:tcW w:w="1200" w:type="dxa"/>
            <w:tcBorders>
              <w:top w:val="single" w:sz="4" w:space="0" w:color="999999"/>
              <w:bottom w:val="single" w:sz="4" w:space="0" w:color="999999"/>
            </w:tcBorders>
            <w:shd w:val="clear" w:color="auto" w:fill="auto"/>
            <w:noWrap/>
            <w:vAlign w:val="center"/>
          </w:tcPr>
          <w:p w14:paraId="368BFAEA"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2209</w:t>
            </w:r>
          </w:p>
        </w:tc>
        <w:tc>
          <w:tcPr>
            <w:tcW w:w="3600" w:type="dxa"/>
            <w:tcBorders>
              <w:top w:val="single" w:sz="4" w:space="0" w:color="999999"/>
              <w:bottom w:val="single" w:sz="4" w:space="0" w:color="999999"/>
            </w:tcBorders>
            <w:vAlign w:val="center"/>
          </w:tcPr>
          <w:p w14:paraId="3325B847"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91 x 24 MWh + 25 MWh</w:t>
            </w:r>
          </w:p>
        </w:tc>
      </w:tr>
      <w:tr w:rsidR="0032459E" w:rsidRPr="0032459E" w14:paraId="08BE0005" w14:textId="77777777" w:rsidTr="00710FF8">
        <w:trPr>
          <w:trHeight w:val="255"/>
          <w:jc w:val="center"/>
        </w:trPr>
        <w:tc>
          <w:tcPr>
            <w:tcW w:w="2895" w:type="dxa"/>
            <w:tcBorders>
              <w:top w:val="single" w:sz="4" w:space="0" w:color="999999"/>
            </w:tcBorders>
            <w:shd w:val="clear" w:color="auto" w:fill="auto"/>
            <w:noWrap/>
            <w:vAlign w:val="center"/>
          </w:tcPr>
          <w:p w14:paraId="3701CCEC" w14:textId="77777777" w:rsidR="0032459E" w:rsidRPr="0032459E" w:rsidRDefault="0032459E" w:rsidP="00A5243A">
            <w:pPr>
              <w:pStyle w:val="Corpodetexto"/>
              <w:spacing w:line="360" w:lineRule="auto"/>
              <w:jc w:val="left"/>
              <w:rPr>
                <w:sz w:val="20"/>
                <w:szCs w:val="20"/>
                <w:lang w:val="es-ES"/>
              </w:rPr>
            </w:pPr>
          </w:p>
        </w:tc>
        <w:tc>
          <w:tcPr>
            <w:tcW w:w="720" w:type="dxa"/>
            <w:tcBorders>
              <w:top w:val="single" w:sz="4" w:space="0" w:color="999999"/>
            </w:tcBorders>
            <w:shd w:val="clear" w:color="auto" w:fill="auto"/>
            <w:noWrap/>
            <w:vAlign w:val="center"/>
          </w:tcPr>
          <w:p w14:paraId="5B1F5778" w14:textId="77777777" w:rsidR="0032459E" w:rsidRPr="0032459E" w:rsidRDefault="0032459E" w:rsidP="00A5243A">
            <w:pPr>
              <w:pStyle w:val="Corpodetexto"/>
              <w:spacing w:line="360" w:lineRule="auto"/>
              <w:jc w:val="center"/>
              <w:rPr>
                <w:sz w:val="20"/>
                <w:szCs w:val="20"/>
                <w:lang w:val="es-ES"/>
              </w:rPr>
            </w:pPr>
          </w:p>
        </w:tc>
        <w:tc>
          <w:tcPr>
            <w:tcW w:w="1200" w:type="dxa"/>
            <w:tcBorders>
              <w:top w:val="single" w:sz="4" w:space="0" w:color="999999"/>
            </w:tcBorders>
            <w:shd w:val="clear" w:color="auto" w:fill="auto"/>
            <w:noWrap/>
            <w:vAlign w:val="center"/>
          </w:tcPr>
          <w:p w14:paraId="5C6B7959" w14:textId="77777777" w:rsidR="0032459E" w:rsidRPr="0032459E" w:rsidRDefault="0032459E" w:rsidP="00A5243A">
            <w:pPr>
              <w:pStyle w:val="Corpodetexto"/>
              <w:spacing w:line="360" w:lineRule="auto"/>
              <w:jc w:val="center"/>
              <w:rPr>
                <w:sz w:val="20"/>
                <w:szCs w:val="20"/>
                <w:lang w:val="es-ES"/>
              </w:rPr>
            </w:pPr>
          </w:p>
        </w:tc>
        <w:tc>
          <w:tcPr>
            <w:tcW w:w="3600" w:type="dxa"/>
            <w:tcBorders>
              <w:top w:val="single" w:sz="4" w:space="0" w:color="999999"/>
            </w:tcBorders>
            <w:vAlign w:val="center"/>
          </w:tcPr>
          <w:p w14:paraId="221B349C" w14:textId="77777777" w:rsidR="0032459E" w:rsidRPr="0032459E" w:rsidRDefault="0032459E" w:rsidP="00A5243A">
            <w:pPr>
              <w:pStyle w:val="Corpodetexto"/>
              <w:spacing w:line="360" w:lineRule="auto"/>
              <w:jc w:val="left"/>
              <w:rPr>
                <w:sz w:val="20"/>
                <w:szCs w:val="20"/>
                <w:lang w:val="es-ES"/>
              </w:rPr>
            </w:pPr>
          </w:p>
        </w:tc>
      </w:tr>
      <w:tr w:rsidR="0032459E" w:rsidRPr="00710FF8" w14:paraId="55C8DD24" w14:textId="77777777" w:rsidTr="00710FF8">
        <w:trPr>
          <w:trHeight w:val="255"/>
          <w:jc w:val="center"/>
        </w:trPr>
        <w:tc>
          <w:tcPr>
            <w:tcW w:w="2895" w:type="dxa"/>
            <w:tcBorders>
              <w:bottom w:val="single" w:sz="4" w:space="0" w:color="999999"/>
            </w:tcBorders>
            <w:shd w:val="clear" w:color="auto" w:fill="auto"/>
            <w:noWrap/>
            <w:vAlign w:val="bottom"/>
          </w:tcPr>
          <w:p w14:paraId="7C136DE5" w14:textId="77777777" w:rsidR="0032459E" w:rsidRPr="00710FF8" w:rsidRDefault="0032459E" w:rsidP="00710FF8">
            <w:pPr>
              <w:tabs>
                <w:tab w:val="left" w:pos="3500"/>
              </w:tabs>
              <w:spacing w:before="60" w:after="60"/>
              <w:jc w:val="both"/>
              <w:rPr>
                <w:rFonts w:ascii="Arial" w:hAnsi="Arial" w:cs="Arial"/>
                <w:b/>
                <w:sz w:val="20"/>
                <w:szCs w:val="20"/>
              </w:rPr>
            </w:pPr>
            <w:proofErr w:type="spellStart"/>
            <w:r w:rsidRPr="00710FF8">
              <w:rPr>
                <w:rFonts w:ascii="Arial" w:hAnsi="Arial" w:cs="Arial"/>
                <w:b/>
                <w:sz w:val="20"/>
                <w:szCs w:val="20"/>
              </w:rPr>
              <w:t>Contratos</w:t>
            </w:r>
            <w:proofErr w:type="spellEnd"/>
            <w:r w:rsidRPr="00710FF8">
              <w:rPr>
                <w:rFonts w:ascii="Arial" w:hAnsi="Arial" w:cs="Arial"/>
                <w:b/>
                <w:sz w:val="20"/>
                <w:szCs w:val="20"/>
              </w:rPr>
              <w:t xml:space="preserve"> </w:t>
            </w:r>
            <w:proofErr w:type="spellStart"/>
            <w:r w:rsidRPr="00710FF8">
              <w:rPr>
                <w:rFonts w:ascii="Arial" w:hAnsi="Arial" w:cs="Arial"/>
                <w:b/>
                <w:sz w:val="20"/>
                <w:szCs w:val="20"/>
              </w:rPr>
              <w:t>Año</w:t>
            </w:r>
            <w:proofErr w:type="spellEnd"/>
          </w:p>
        </w:tc>
        <w:tc>
          <w:tcPr>
            <w:tcW w:w="720" w:type="dxa"/>
            <w:tcBorders>
              <w:bottom w:val="single" w:sz="4" w:space="0" w:color="999999"/>
            </w:tcBorders>
            <w:shd w:val="clear" w:color="auto" w:fill="auto"/>
            <w:noWrap/>
            <w:vAlign w:val="bottom"/>
          </w:tcPr>
          <w:p w14:paraId="106BDF3C" w14:textId="77777777" w:rsidR="0032459E" w:rsidRPr="00710FF8" w:rsidRDefault="0032459E" w:rsidP="001E627E">
            <w:pPr>
              <w:tabs>
                <w:tab w:val="left" w:pos="3500"/>
              </w:tabs>
              <w:spacing w:before="60" w:after="60"/>
              <w:jc w:val="center"/>
              <w:rPr>
                <w:rFonts w:ascii="Arial" w:hAnsi="Arial" w:cs="Arial"/>
                <w:b/>
                <w:sz w:val="20"/>
                <w:szCs w:val="20"/>
              </w:rPr>
            </w:pPr>
            <w:r w:rsidRPr="00710FF8">
              <w:rPr>
                <w:rFonts w:ascii="Arial" w:hAnsi="Arial" w:cs="Arial"/>
                <w:b/>
                <w:sz w:val="20"/>
                <w:szCs w:val="20"/>
              </w:rPr>
              <w:t>Días</w:t>
            </w:r>
          </w:p>
        </w:tc>
        <w:tc>
          <w:tcPr>
            <w:tcW w:w="1200" w:type="dxa"/>
            <w:tcBorders>
              <w:bottom w:val="single" w:sz="4" w:space="0" w:color="999999"/>
            </w:tcBorders>
            <w:shd w:val="clear" w:color="auto" w:fill="auto"/>
            <w:noWrap/>
            <w:vAlign w:val="bottom"/>
          </w:tcPr>
          <w:p w14:paraId="155FA9C9" w14:textId="77777777" w:rsidR="0032459E" w:rsidRPr="00710FF8" w:rsidRDefault="0032459E" w:rsidP="001E627E">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Valor</w:t>
            </w:r>
            <w:proofErr w:type="spellEnd"/>
            <w:r w:rsidRPr="00710FF8">
              <w:rPr>
                <w:rFonts w:ascii="Arial" w:hAnsi="Arial" w:cs="Arial"/>
                <w:b/>
                <w:sz w:val="20"/>
                <w:szCs w:val="20"/>
              </w:rPr>
              <w:t xml:space="preserve"> Nominal (MWh)</w:t>
            </w:r>
          </w:p>
        </w:tc>
        <w:tc>
          <w:tcPr>
            <w:tcW w:w="3600" w:type="dxa"/>
            <w:tcBorders>
              <w:bottom w:val="single" w:sz="4" w:space="0" w:color="999999"/>
            </w:tcBorders>
            <w:vAlign w:val="bottom"/>
          </w:tcPr>
          <w:p w14:paraId="12014536" w14:textId="77777777" w:rsidR="0032459E" w:rsidRPr="00710FF8" w:rsidRDefault="0032459E" w:rsidP="001E627E">
            <w:pPr>
              <w:tabs>
                <w:tab w:val="left" w:pos="3500"/>
              </w:tabs>
              <w:spacing w:before="60" w:after="60"/>
              <w:jc w:val="center"/>
              <w:rPr>
                <w:rFonts w:ascii="Arial" w:hAnsi="Arial" w:cs="Arial"/>
                <w:b/>
                <w:sz w:val="20"/>
                <w:szCs w:val="20"/>
              </w:rPr>
            </w:pPr>
            <w:proofErr w:type="spellStart"/>
            <w:r w:rsidRPr="00710FF8">
              <w:rPr>
                <w:rFonts w:ascii="Arial" w:hAnsi="Arial" w:cs="Arial"/>
                <w:b/>
                <w:sz w:val="20"/>
                <w:szCs w:val="20"/>
              </w:rPr>
              <w:t>Descripción</w:t>
            </w:r>
            <w:proofErr w:type="spellEnd"/>
          </w:p>
        </w:tc>
      </w:tr>
      <w:tr w:rsidR="0032459E" w:rsidRPr="0032459E" w14:paraId="6FD8FFE9"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15D89495" w14:textId="77777777" w:rsidR="0032459E" w:rsidRPr="00710FF8" w:rsidRDefault="0032459E" w:rsidP="00710FF8">
            <w:pPr>
              <w:tabs>
                <w:tab w:val="left" w:pos="3500"/>
              </w:tabs>
              <w:spacing w:before="60" w:after="60"/>
              <w:jc w:val="both"/>
              <w:rPr>
                <w:rFonts w:ascii="Arial" w:hAnsi="Arial" w:cs="Arial"/>
                <w:sz w:val="20"/>
                <w:szCs w:val="20"/>
              </w:rPr>
            </w:pPr>
            <w:proofErr w:type="spellStart"/>
            <w:r w:rsidRPr="00710FF8">
              <w:rPr>
                <w:rFonts w:ascii="Arial" w:hAnsi="Arial" w:cs="Arial"/>
                <w:sz w:val="20"/>
                <w:szCs w:val="20"/>
              </w:rPr>
              <w:t>Año</w:t>
            </w:r>
            <w:proofErr w:type="spellEnd"/>
            <w:r w:rsidRPr="00710FF8">
              <w:rPr>
                <w:rFonts w:ascii="Arial" w:hAnsi="Arial" w:cs="Arial"/>
                <w:sz w:val="20"/>
                <w:szCs w:val="20"/>
              </w:rPr>
              <w:t xml:space="preserve"> de </w:t>
            </w:r>
            <w:proofErr w:type="spellStart"/>
            <w:r w:rsidRPr="00710FF8">
              <w:rPr>
                <w:rFonts w:ascii="Arial" w:hAnsi="Arial" w:cs="Arial"/>
                <w:sz w:val="20"/>
                <w:szCs w:val="20"/>
              </w:rPr>
              <w:t>calendario</w:t>
            </w:r>
            <w:proofErr w:type="spellEnd"/>
            <w:r w:rsidRPr="00710FF8">
              <w:rPr>
                <w:rFonts w:ascii="Arial" w:hAnsi="Arial" w:cs="Arial"/>
                <w:sz w:val="20"/>
                <w:szCs w:val="20"/>
              </w:rPr>
              <w:t xml:space="preserve"> normal</w:t>
            </w:r>
          </w:p>
        </w:tc>
        <w:tc>
          <w:tcPr>
            <w:tcW w:w="720" w:type="dxa"/>
            <w:tcBorders>
              <w:top w:val="single" w:sz="4" w:space="0" w:color="999999"/>
              <w:bottom w:val="single" w:sz="4" w:space="0" w:color="999999"/>
            </w:tcBorders>
            <w:shd w:val="clear" w:color="auto" w:fill="auto"/>
            <w:noWrap/>
            <w:vAlign w:val="center"/>
          </w:tcPr>
          <w:p w14:paraId="30C8DE30"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365</w:t>
            </w:r>
          </w:p>
        </w:tc>
        <w:tc>
          <w:tcPr>
            <w:tcW w:w="1200" w:type="dxa"/>
            <w:tcBorders>
              <w:top w:val="single" w:sz="4" w:space="0" w:color="999999"/>
              <w:bottom w:val="single" w:sz="4" w:space="0" w:color="999999"/>
            </w:tcBorders>
            <w:shd w:val="clear" w:color="auto" w:fill="auto"/>
            <w:noWrap/>
            <w:vAlign w:val="center"/>
          </w:tcPr>
          <w:p w14:paraId="2500AAE9"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8760</w:t>
            </w:r>
          </w:p>
        </w:tc>
        <w:tc>
          <w:tcPr>
            <w:tcW w:w="3600" w:type="dxa"/>
            <w:tcBorders>
              <w:top w:val="single" w:sz="4" w:space="0" w:color="999999"/>
              <w:bottom w:val="single" w:sz="4" w:space="0" w:color="999999"/>
            </w:tcBorders>
            <w:vAlign w:val="center"/>
          </w:tcPr>
          <w:p w14:paraId="25A96D76"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363 x 24 MWh + 23 MWh + 25 MWh</w:t>
            </w:r>
          </w:p>
        </w:tc>
      </w:tr>
      <w:tr w:rsidR="0032459E" w:rsidRPr="0032459E" w14:paraId="2191F0DD" w14:textId="77777777" w:rsidTr="00710FF8">
        <w:trPr>
          <w:trHeight w:val="255"/>
          <w:jc w:val="center"/>
        </w:trPr>
        <w:tc>
          <w:tcPr>
            <w:tcW w:w="2895" w:type="dxa"/>
            <w:tcBorders>
              <w:top w:val="single" w:sz="4" w:space="0" w:color="999999"/>
              <w:bottom w:val="single" w:sz="4" w:space="0" w:color="999999"/>
            </w:tcBorders>
            <w:shd w:val="clear" w:color="auto" w:fill="auto"/>
            <w:noWrap/>
            <w:vAlign w:val="center"/>
          </w:tcPr>
          <w:p w14:paraId="72DE88C0" w14:textId="77777777" w:rsidR="0032459E" w:rsidRPr="00710FF8" w:rsidRDefault="0032459E" w:rsidP="00710FF8">
            <w:pPr>
              <w:tabs>
                <w:tab w:val="left" w:pos="3500"/>
              </w:tabs>
              <w:spacing w:before="60" w:after="60"/>
              <w:jc w:val="both"/>
              <w:rPr>
                <w:rFonts w:ascii="Arial" w:hAnsi="Arial" w:cs="Arial"/>
                <w:sz w:val="20"/>
                <w:szCs w:val="20"/>
              </w:rPr>
            </w:pPr>
            <w:proofErr w:type="spellStart"/>
            <w:r w:rsidRPr="00710FF8">
              <w:rPr>
                <w:rFonts w:ascii="Arial" w:hAnsi="Arial" w:cs="Arial"/>
                <w:sz w:val="20"/>
                <w:szCs w:val="20"/>
              </w:rPr>
              <w:t>Año</w:t>
            </w:r>
            <w:proofErr w:type="spellEnd"/>
            <w:r w:rsidRPr="00710FF8">
              <w:rPr>
                <w:rFonts w:ascii="Arial" w:hAnsi="Arial" w:cs="Arial"/>
                <w:sz w:val="20"/>
                <w:szCs w:val="20"/>
              </w:rPr>
              <w:t xml:space="preserve"> de </w:t>
            </w:r>
            <w:proofErr w:type="spellStart"/>
            <w:r w:rsidRPr="00710FF8">
              <w:rPr>
                <w:rFonts w:ascii="Arial" w:hAnsi="Arial" w:cs="Arial"/>
                <w:sz w:val="20"/>
                <w:szCs w:val="20"/>
              </w:rPr>
              <w:t>calendario</w:t>
            </w:r>
            <w:proofErr w:type="spellEnd"/>
            <w:r w:rsidRPr="00710FF8">
              <w:rPr>
                <w:rFonts w:ascii="Arial" w:hAnsi="Arial" w:cs="Arial"/>
                <w:sz w:val="20"/>
                <w:szCs w:val="20"/>
              </w:rPr>
              <w:t xml:space="preserve"> </w:t>
            </w:r>
            <w:proofErr w:type="spellStart"/>
            <w:r w:rsidRPr="00710FF8">
              <w:rPr>
                <w:rFonts w:ascii="Arial" w:hAnsi="Arial" w:cs="Arial"/>
                <w:sz w:val="20"/>
                <w:szCs w:val="20"/>
              </w:rPr>
              <w:t>bisiesto</w:t>
            </w:r>
            <w:proofErr w:type="spellEnd"/>
          </w:p>
        </w:tc>
        <w:tc>
          <w:tcPr>
            <w:tcW w:w="720" w:type="dxa"/>
            <w:tcBorders>
              <w:top w:val="single" w:sz="4" w:space="0" w:color="999999"/>
              <w:bottom w:val="single" w:sz="4" w:space="0" w:color="999999"/>
            </w:tcBorders>
            <w:shd w:val="clear" w:color="auto" w:fill="auto"/>
            <w:noWrap/>
            <w:vAlign w:val="center"/>
          </w:tcPr>
          <w:p w14:paraId="5E31185F"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366</w:t>
            </w:r>
          </w:p>
        </w:tc>
        <w:tc>
          <w:tcPr>
            <w:tcW w:w="1200" w:type="dxa"/>
            <w:tcBorders>
              <w:top w:val="single" w:sz="4" w:space="0" w:color="999999"/>
              <w:bottom w:val="single" w:sz="4" w:space="0" w:color="999999"/>
            </w:tcBorders>
            <w:shd w:val="clear" w:color="auto" w:fill="auto"/>
            <w:noWrap/>
            <w:vAlign w:val="center"/>
          </w:tcPr>
          <w:p w14:paraId="1C80E0A3"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8784</w:t>
            </w:r>
          </w:p>
        </w:tc>
        <w:tc>
          <w:tcPr>
            <w:tcW w:w="3600" w:type="dxa"/>
            <w:tcBorders>
              <w:top w:val="single" w:sz="4" w:space="0" w:color="999999"/>
              <w:bottom w:val="single" w:sz="4" w:space="0" w:color="999999"/>
            </w:tcBorders>
            <w:vAlign w:val="center"/>
          </w:tcPr>
          <w:p w14:paraId="173684D1" w14:textId="77777777" w:rsidR="0032459E" w:rsidRPr="00710FF8" w:rsidRDefault="0032459E" w:rsidP="001E627E">
            <w:pPr>
              <w:tabs>
                <w:tab w:val="left" w:pos="3500"/>
              </w:tabs>
              <w:spacing w:before="60" w:after="60"/>
              <w:jc w:val="center"/>
              <w:rPr>
                <w:rFonts w:ascii="Arial" w:hAnsi="Arial" w:cs="Arial"/>
                <w:sz w:val="20"/>
                <w:szCs w:val="20"/>
              </w:rPr>
            </w:pPr>
            <w:r w:rsidRPr="00710FF8">
              <w:rPr>
                <w:rFonts w:ascii="Arial" w:hAnsi="Arial" w:cs="Arial"/>
                <w:sz w:val="20"/>
                <w:szCs w:val="20"/>
              </w:rPr>
              <w:t>364 x 24 MWh + 23 MWh + 25 MWh</w:t>
            </w:r>
          </w:p>
        </w:tc>
      </w:tr>
    </w:tbl>
    <w:p w14:paraId="76D204D4" w14:textId="77777777" w:rsidR="0012517E" w:rsidRDefault="0012517E" w:rsidP="001D6D89">
      <w:pPr>
        <w:pStyle w:val="PargrafodaLista"/>
        <w:spacing w:before="60" w:after="60"/>
        <w:ind w:left="426" w:hanging="426"/>
        <w:contextualSpacing w:val="0"/>
        <w:jc w:val="both"/>
        <w:rPr>
          <w:rFonts w:ascii="Arial" w:hAnsi="Arial" w:cs="Arial"/>
          <w:sz w:val="20"/>
          <w:szCs w:val="20"/>
          <w:lang w:val="es-ES_tradnl"/>
        </w:rPr>
      </w:pPr>
    </w:p>
    <w:p w14:paraId="72104235" w14:textId="77777777" w:rsidR="009117F1" w:rsidRDefault="009117F1" w:rsidP="001D6D89">
      <w:pPr>
        <w:pStyle w:val="PargrafodaLista"/>
        <w:spacing w:before="60" w:after="60"/>
        <w:ind w:left="426" w:hanging="426"/>
        <w:contextualSpacing w:val="0"/>
        <w:jc w:val="both"/>
        <w:rPr>
          <w:rFonts w:ascii="Arial" w:hAnsi="Arial" w:cs="Arial"/>
          <w:sz w:val="20"/>
          <w:szCs w:val="20"/>
          <w:lang w:val="es-ES_tradnl"/>
        </w:rPr>
      </w:pPr>
    </w:p>
    <w:p w14:paraId="74C8DB92" w14:textId="77777777" w:rsidR="00FE7305" w:rsidRPr="00FE7305" w:rsidRDefault="00FE7305" w:rsidP="00FE7305">
      <w:pPr>
        <w:spacing w:before="60" w:after="60"/>
        <w:jc w:val="both"/>
        <w:rPr>
          <w:rFonts w:ascii="Arial" w:hAnsi="Arial" w:cs="Arial"/>
          <w:b/>
          <w:color w:val="92D050"/>
          <w:sz w:val="20"/>
          <w:szCs w:val="28"/>
          <w:lang w:val="es-ES_tradnl"/>
        </w:rPr>
      </w:pPr>
      <w:r w:rsidRPr="00FE7305">
        <w:rPr>
          <w:rFonts w:ascii="Arial" w:hAnsi="Arial" w:cs="Arial"/>
          <w:b/>
          <w:color w:val="92D050"/>
          <w:sz w:val="20"/>
          <w:szCs w:val="28"/>
          <w:lang w:val="es-ES_tradnl"/>
        </w:rPr>
        <w:t xml:space="preserve">Cláusula 4ª – Forma de cotización, </w:t>
      </w:r>
      <w:proofErr w:type="spellStart"/>
      <w:r w:rsidRPr="00FE7305">
        <w:rPr>
          <w:rFonts w:ascii="Arial" w:hAnsi="Arial" w:cs="Arial"/>
          <w:b/>
          <w:color w:val="92D050"/>
          <w:sz w:val="20"/>
          <w:szCs w:val="28"/>
          <w:lang w:val="es-ES_tradnl"/>
        </w:rPr>
        <w:t>Tick</w:t>
      </w:r>
      <w:proofErr w:type="spellEnd"/>
      <w:r w:rsidRPr="00FE7305">
        <w:rPr>
          <w:rFonts w:ascii="Arial" w:hAnsi="Arial" w:cs="Arial"/>
          <w:b/>
          <w:color w:val="92D050"/>
          <w:sz w:val="20"/>
          <w:szCs w:val="28"/>
          <w:lang w:val="es-ES_tradnl"/>
        </w:rPr>
        <w:t xml:space="preserve"> y valor del </w:t>
      </w:r>
      <w:proofErr w:type="spellStart"/>
      <w:r w:rsidRPr="00FE7305">
        <w:rPr>
          <w:rFonts w:ascii="Arial" w:hAnsi="Arial" w:cs="Arial"/>
          <w:b/>
          <w:color w:val="92D050"/>
          <w:sz w:val="20"/>
          <w:szCs w:val="28"/>
          <w:lang w:val="es-ES_tradnl"/>
        </w:rPr>
        <w:t>Tick</w:t>
      </w:r>
      <w:proofErr w:type="spellEnd"/>
    </w:p>
    <w:p w14:paraId="589C54AB" w14:textId="77777777" w:rsidR="00FE7305" w:rsidRPr="00FE7305" w:rsidRDefault="00FE7305" w:rsidP="00FE7305">
      <w:pPr>
        <w:pStyle w:val="PargrafodaLista"/>
        <w:spacing w:before="60" w:after="60"/>
        <w:ind w:left="426" w:hanging="426"/>
        <w:contextualSpacing w:val="0"/>
        <w:jc w:val="both"/>
        <w:rPr>
          <w:rFonts w:ascii="Arial" w:hAnsi="Arial" w:cs="Arial"/>
          <w:sz w:val="20"/>
          <w:szCs w:val="20"/>
          <w:lang w:val="es-ES_tradnl"/>
        </w:rPr>
      </w:pPr>
      <w:r w:rsidRPr="00FE7305">
        <w:rPr>
          <w:rFonts w:ascii="Arial" w:hAnsi="Arial" w:cs="Arial"/>
          <w:sz w:val="20"/>
          <w:szCs w:val="20"/>
          <w:lang w:val="es-ES_tradnl"/>
        </w:rPr>
        <w:t>1.</w:t>
      </w:r>
      <w:r w:rsidRPr="00FE7305">
        <w:rPr>
          <w:rFonts w:ascii="Arial" w:hAnsi="Arial" w:cs="Arial"/>
          <w:sz w:val="20"/>
          <w:szCs w:val="20"/>
          <w:lang w:val="es-ES_tradnl"/>
        </w:rPr>
        <w:tab/>
        <w:t xml:space="preserve">Cada contrato Futuros MIBEL PTEL Base Financiero es cotizado en Euros por </w:t>
      </w:r>
      <w:proofErr w:type="spellStart"/>
      <w:r w:rsidRPr="00FE7305">
        <w:rPr>
          <w:rFonts w:ascii="Arial" w:hAnsi="Arial" w:cs="Arial"/>
          <w:sz w:val="20"/>
          <w:szCs w:val="20"/>
          <w:lang w:val="es-ES_tradnl"/>
        </w:rPr>
        <w:t>MWh</w:t>
      </w:r>
      <w:proofErr w:type="spellEnd"/>
      <w:r w:rsidRPr="00FE7305">
        <w:rPr>
          <w:rFonts w:ascii="Arial" w:hAnsi="Arial" w:cs="Arial"/>
          <w:sz w:val="20"/>
          <w:szCs w:val="20"/>
          <w:lang w:val="es-ES_tradnl"/>
        </w:rPr>
        <w:t>.</w:t>
      </w:r>
    </w:p>
    <w:p w14:paraId="0068FBDE" w14:textId="77777777" w:rsidR="00FE7305" w:rsidRPr="00FE7305" w:rsidRDefault="00FE7305" w:rsidP="00FE7305">
      <w:pPr>
        <w:pStyle w:val="PargrafodaLista"/>
        <w:spacing w:before="60" w:after="60"/>
        <w:ind w:left="426" w:hanging="426"/>
        <w:contextualSpacing w:val="0"/>
        <w:jc w:val="both"/>
        <w:rPr>
          <w:rFonts w:ascii="Arial" w:hAnsi="Arial" w:cs="Arial"/>
          <w:sz w:val="20"/>
          <w:szCs w:val="20"/>
          <w:lang w:val="es-ES_tradnl"/>
        </w:rPr>
      </w:pPr>
      <w:r w:rsidRPr="00FE7305">
        <w:rPr>
          <w:rFonts w:ascii="Arial" w:hAnsi="Arial" w:cs="Arial"/>
          <w:sz w:val="20"/>
          <w:szCs w:val="20"/>
          <w:lang w:val="es-ES_tradnl"/>
        </w:rPr>
        <w:t>2.</w:t>
      </w:r>
      <w:r w:rsidRPr="00FE7305">
        <w:rPr>
          <w:rFonts w:ascii="Arial" w:hAnsi="Arial" w:cs="Arial"/>
          <w:sz w:val="20"/>
          <w:szCs w:val="20"/>
          <w:lang w:val="es-ES_tradnl"/>
        </w:rPr>
        <w:tab/>
        <w:t>La fluctuación mínima de precios (</w:t>
      </w:r>
      <w:proofErr w:type="spellStart"/>
      <w:r w:rsidRPr="00FE7305">
        <w:rPr>
          <w:rFonts w:ascii="Arial" w:hAnsi="Arial" w:cs="Arial"/>
          <w:sz w:val="20"/>
          <w:szCs w:val="20"/>
          <w:lang w:val="es-ES_tradnl"/>
        </w:rPr>
        <w:t>Tick</w:t>
      </w:r>
      <w:proofErr w:type="spellEnd"/>
      <w:r w:rsidRPr="00FE7305">
        <w:rPr>
          <w:rFonts w:ascii="Arial" w:hAnsi="Arial" w:cs="Arial"/>
          <w:sz w:val="20"/>
          <w:szCs w:val="20"/>
          <w:lang w:val="es-ES_tradnl"/>
        </w:rPr>
        <w:t xml:space="preserve">) es de un céntimo de euro por </w:t>
      </w:r>
      <w:proofErr w:type="spellStart"/>
      <w:r w:rsidRPr="00FE7305">
        <w:rPr>
          <w:rFonts w:ascii="Arial" w:hAnsi="Arial" w:cs="Arial"/>
          <w:sz w:val="20"/>
          <w:szCs w:val="20"/>
          <w:lang w:val="es-ES_tradnl"/>
        </w:rPr>
        <w:t>MWh</w:t>
      </w:r>
      <w:proofErr w:type="spellEnd"/>
      <w:r w:rsidRPr="00FE7305">
        <w:rPr>
          <w:rFonts w:ascii="Arial" w:hAnsi="Arial" w:cs="Arial"/>
          <w:sz w:val="20"/>
          <w:szCs w:val="20"/>
          <w:lang w:val="es-ES_tradnl"/>
        </w:rPr>
        <w:t xml:space="preserve"> (0,01 €/</w:t>
      </w:r>
      <w:proofErr w:type="spellStart"/>
      <w:r w:rsidRPr="00FE7305">
        <w:rPr>
          <w:rFonts w:ascii="Arial" w:hAnsi="Arial" w:cs="Arial"/>
          <w:sz w:val="20"/>
          <w:szCs w:val="20"/>
          <w:lang w:val="es-ES_tradnl"/>
        </w:rPr>
        <w:t>MWh</w:t>
      </w:r>
      <w:proofErr w:type="spellEnd"/>
      <w:r w:rsidRPr="00FE7305">
        <w:rPr>
          <w:rFonts w:ascii="Arial" w:hAnsi="Arial" w:cs="Arial"/>
          <w:sz w:val="20"/>
          <w:szCs w:val="20"/>
          <w:lang w:val="es-ES_tradnl"/>
        </w:rPr>
        <w:t>).</w:t>
      </w:r>
    </w:p>
    <w:p w14:paraId="56931BA9" w14:textId="77777777" w:rsidR="00FE7305" w:rsidRDefault="00FE7305" w:rsidP="00FE7305">
      <w:pPr>
        <w:pStyle w:val="PargrafodaLista"/>
        <w:spacing w:before="60" w:after="60"/>
        <w:ind w:left="426" w:hanging="426"/>
        <w:contextualSpacing w:val="0"/>
        <w:jc w:val="both"/>
        <w:rPr>
          <w:rFonts w:ascii="Arial" w:hAnsi="Arial" w:cs="Arial"/>
          <w:sz w:val="20"/>
          <w:szCs w:val="20"/>
          <w:lang w:val="es-ES_tradnl"/>
        </w:rPr>
      </w:pPr>
      <w:r w:rsidRPr="00FE7305">
        <w:rPr>
          <w:rFonts w:ascii="Arial" w:hAnsi="Arial" w:cs="Arial"/>
          <w:sz w:val="20"/>
          <w:szCs w:val="20"/>
          <w:lang w:val="es-ES_tradnl"/>
        </w:rPr>
        <w:t>3.</w:t>
      </w:r>
      <w:r w:rsidRPr="00FE7305">
        <w:rPr>
          <w:rFonts w:ascii="Arial" w:hAnsi="Arial" w:cs="Arial"/>
          <w:sz w:val="20"/>
          <w:szCs w:val="20"/>
          <w:lang w:val="es-ES_tradnl"/>
        </w:rPr>
        <w:tab/>
        <w:t xml:space="preserve">El valor del </w:t>
      </w:r>
      <w:proofErr w:type="spellStart"/>
      <w:r w:rsidRPr="00FE7305">
        <w:rPr>
          <w:rFonts w:ascii="Arial" w:hAnsi="Arial" w:cs="Arial"/>
          <w:sz w:val="20"/>
          <w:szCs w:val="20"/>
          <w:lang w:val="es-ES_tradnl"/>
        </w:rPr>
        <w:t>Tick</w:t>
      </w:r>
      <w:proofErr w:type="spellEnd"/>
      <w:r w:rsidRPr="00FE7305">
        <w:rPr>
          <w:rFonts w:ascii="Arial" w:hAnsi="Arial" w:cs="Arial"/>
          <w:sz w:val="20"/>
          <w:szCs w:val="20"/>
          <w:lang w:val="es-ES_tradnl"/>
        </w:rPr>
        <w:t xml:space="preserve"> (en euros) está en función del Valor Nominal de cada Contrato, asumiendo los valores especificados en la tabla siguiente.</w:t>
      </w:r>
    </w:p>
    <w:p w14:paraId="6498FC15" w14:textId="77777777" w:rsidR="00D36448" w:rsidRPr="00FE7305" w:rsidRDefault="00D36448" w:rsidP="00FE7305">
      <w:pPr>
        <w:pStyle w:val="PargrafodaLista"/>
        <w:spacing w:before="60" w:after="60"/>
        <w:ind w:left="426" w:hanging="426"/>
        <w:contextualSpacing w:val="0"/>
        <w:jc w:val="both"/>
        <w:rPr>
          <w:rFonts w:ascii="Arial" w:hAnsi="Arial" w:cs="Arial"/>
          <w:sz w:val="20"/>
          <w:szCs w:val="20"/>
          <w:lang w:val="es-ES_tradnl"/>
        </w:rPr>
      </w:pPr>
    </w:p>
    <w:tbl>
      <w:tblPr>
        <w:tblW w:w="6840" w:type="dxa"/>
        <w:jc w:val="center"/>
        <w:tblLook w:val="0000" w:firstRow="0" w:lastRow="0" w:firstColumn="0" w:lastColumn="0" w:noHBand="0" w:noVBand="0"/>
      </w:tblPr>
      <w:tblGrid>
        <w:gridCol w:w="4863"/>
        <w:gridCol w:w="1977"/>
      </w:tblGrid>
      <w:tr w:rsidR="00D36448" w:rsidRPr="008042C9" w14:paraId="35E3D360" w14:textId="77777777" w:rsidTr="00CD44EA">
        <w:trPr>
          <w:trHeight w:val="284"/>
          <w:jc w:val="center"/>
        </w:trPr>
        <w:tc>
          <w:tcPr>
            <w:tcW w:w="4863" w:type="dxa"/>
            <w:tcBorders>
              <w:bottom w:val="single" w:sz="4" w:space="0" w:color="999999"/>
            </w:tcBorders>
            <w:shd w:val="clear" w:color="auto" w:fill="auto"/>
            <w:noWrap/>
            <w:vAlign w:val="center"/>
          </w:tcPr>
          <w:p w14:paraId="5C0BAA1D" w14:textId="77777777" w:rsidR="00D36448" w:rsidRPr="008042C9" w:rsidRDefault="00D36448" w:rsidP="00CD44EA">
            <w:pPr>
              <w:tabs>
                <w:tab w:val="left" w:pos="3500"/>
              </w:tabs>
              <w:spacing w:before="60" w:after="60"/>
              <w:jc w:val="both"/>
              <w:rPr>
                <w:rFonts w:ascii="Arial" w:hAnsi="Arial" w:cs="Arial"/>
                <w:b/>
                <w:sz w:val="20"/>
                <w:szCs w:val="20"/>
              </w:rPr>
            </w:pPr>
            <w:proofErr w:type="spellStart"/>
            <w:r>
              <w:rPr>
                <w:rFonts w:ascii="Arial" w:hAnsi="Arial" w:cs="Arial"/>
                <w:b/>
                <w:sz w:val="20"/>
                <w:szCs w:val="20"/>
              </w:rPr>
              <w:t>Contratos</w:t>
            </w:r>
            <w:proofErr w:type="spellEnd"/>
            <w:r>
              <w:rPr>
                <w:rFonts w:ascii="Arial" w:hAnsi="Arial" w:cs="Arial"/>
                <w:b/>
                <w:sz w:val="20"/>
                <w:szCs w:val="20"/>
              </w:rPr>
              <w:t xml:space="preserve"> Día</w:t>
            </w:r>
          </w:p>
        </w:tc>
        <w:tc>
          <w:tcPr>
            <w:tcW w:w="1977" w:type="dxa"/>
            <w:tcBorders>
              <w:bottom w:val="single" w:sz="4" w:space="0" w:color="999999"/>
            </w:tcBorders>
            <w:shd w:val="clear" w:color="auto" w:fill="auto"/>
            <w:noWrap/>
            <w:vAlign w:val="center"/>
          </w:tcPr>
          <w:p w14:paraId="4689F75F" w14:textId="77777777" w:rsidR="00D36448" w:rsidRPr="008042C9" w:rsidRDefault="00D36448" w:rsidP="00CD44EA">
            <w:pPr>
              <w:tabs>
                <w:tab w:val="left" w:pos="3500"/>
              </w:tabs>
              <w:spacing w:before="60" w:after="60"/>
              <w:jc w:val="center"/>
              <w:rPr>
                <w:rFonts w:ascii="Arial" w:hAnsi="Arial" w:cs="Arial"/>
                <w:b/>
                <w:sz w:val="20"/>
                <w:szCs w:val="20"/>
              </w:rPr>
            </w:pPr>
            <w:proofErr w:type="spellStart"/>
            <w:r w:rsidRPr="008042C9">
              <w:rPr>
                <w:rFonts w:ascii="Arial" w:hAnsi="Arial" w:cs="Arial"/>
                <w:b/>
                <w:sz w:val="20"/>
                <w:szCs w:val="20"/>
              </w:rPr>
              <w:t>Valor</w:t>
            </w:r>
            <w:proofErr w:type="spellEnd"/>
            <w:r w:rsidRPr="008042C9">
              <w:rPr>
                <w:rFonts w:ascii="Arial" w:hAnsi="Arial" w:cs="Arial"/>
                <w:b/>
                <w:sz w:val="20"/>
                <w:szCs w:val="20"/>
              </w:rPr>
              <w:t xml:space="preserve"> d</w:t>
            </w:r>
            <w:r>
              <w:rPr>
                <w:rFonts w:ascii="Arial" w:hAnsi="Arial" w:cs="Arial"/>
                <w:b/>
                <w:sz w:val="20"/>
                <w:szCs w:val="20"/>
              </w:rPr>
              <w:t>el</w:t>
            </w:r>
            <w:r w:rsidRPr="008042C9">
              <w:rPr>
                <w:rFonts w:ascii="Arial" w:hAnsi="Arial" w:cs="Arial"/>
                <w:b/>
                <w:sz w:val="20"/>
                <w:szCs w:val="20"/>
              </w:rPr>
              <w:t xml:space="preserve"> Tick (€)</w:t>
            </w:r>
          </w:p>
        </w:tc>
      </w:tr>
      <w:tr w:rsidR="00D36448" w:rsidRPr="00AE30A8" w14:paraId="7D6917D5" w14:textId="77777777" w:rsidTr="00CD44EA">
        <w:trPr>
          <w:trHeight w:val="284"/>
          <w:jc w:val="center"/>
        </w:trPr>
        <w:tc>
          <w:tcPr>
            <w:tcW w:w="4863" w:type="dxa"/>
            <w:tcBorders>
              <w:bottom w:val="single" w:sz="4" w:space="0" w:color="999999"/>
            </w:tcBorders>
            <w:shd w:val="clear" w:color="auto" w:fill="auto"/>
            <w:noWrap/>
            <w:vAlign w:val="center"/>
          </w:tcPr>
          <w:p w14:paraId="0030D7E1" w14:textId="77777777" w:rsidR="00D36448" w:rsidRPr="008042C9" w:rsidRDefault="00D36448" w:rsidP="00CD44EA">
            <w:pPr>
              <w:tabs>
                <w:tab w:val="left" w:pos="3500"/>
              </w:tabs>
              <w:spacing w:before="60" w:after="60"/>
              <w:jc w:val="both"/>
              <w:rPr>
                <w:rFonts w:ascii="Arial" w:hAnsi="Arial" w:cs="Arial"/>
                <w:sz w:val="20"/>
                <w:szCs w:val="20"/>
              </w:rPr>
            </w:pPr>
            <w:r>
              <w:rPr>
                <w:rFonts w:ascii="Arial" w:hAnsi="Arial" w:cs="Arial"/>
                <w:sz w:val="20"/>
                <w:szCs w:val="20"/>
              </w:rPr>
              <w:t>Dí</w:t>
            </w:r>
            <w:r w:rsidRPr="008042C9">
              <w:rPr>
                <w:rFonts w:ascii="Arial" w:hAnsi="Arial" w:cs="Arial"/>
                <w:sz w:val="20"/>
                <w:szCs w:val="20"/>
              </w:rPr>
              <w:t xml:space="preserve">a </w:t>
            </w:r>
            <w:proofErr w:type="spellStart"/>
            <w:r w:rsidRPr="008042C9">
              <w:rPr>
                <w:rFonts w:ascii="Arial" w:hAnsi="Arial" w:cs="Arial"/>
                <w:sz w:val="20"/>
                <w:szCs w:val="20"/>
              </w:rPr>
              <w:t>corr</w:t>
            </w:r>
            <w:r>
              <w:rPr>
                <w:rFonts w:ascii="Arial" w:hAnsi="Arial" w:cs="Arial"/>
                <w:sz w:val="20"/>
                <w:szCs w:val="20"/>
              </w:rPr>
              <w:t>i</w:t>
            </w:r>
            <w:r w:rsidRPr="008042C9">
              <w:rPr>
                <w:rFonts w:ascii="Arial" w:hAnsi="Arial" w:cs="Arial"/>
                <w:sz w:val="20"/>
                <w:szCs w:val="20"/>
              </w:rPr>
              <w:t>ente</w:t>
            </w:r>
            <w:proofErr w:type="spellEnd"/>
          </w:p>
        </w:tc>
        <w:tc>
          <w:tcPr>
            <w:tcW w:w="1977" w:type="dxa"/>
            <w:tcBorders>
              <w:bottom w:val="single" w:sz="4" w:space="0" w:color="999999"/>
            </w:tcBorders>
            <w:shd w:val="clear" w:color="auto" w:fill="auto"/>
            <w:noWrap/>
            <w:vAlign w:val="center"/>
          </w:tcPr>
          <w:p w14:paraId="6CD68995"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0,24</w:t>
            </w:r>
          </w:p>
        </w:tc>
      </w:tr>
      <w:tr w:rsidR="00D36448" w:rsidRPr="00AE30A8" w14:paraId="233692FA" w14:textId="77777777" w:rsidTr="00CD44EA">
        <w:trPr>
          <w:trHeight w:val="284"/>
          <w:jc w:val="center"/>
        </w:trPr>
        <w:tc>
          <w:tcPr>
            <w:tcW w:w="4863" w:type="dxa"/>
            <w:tcBorders>
              <w:bottom w:val="single" w:sz="4" w:space="0" w:color="999999"/>
            </w:tcBorders>
            <w:shd w:val="clear" w:color="auto" w:fill="auto"/>
            <w:noWrap/>
            <w:vAlign w:val="center"/>
          </w:tcPr>
          <w:p w14:paraId="43C43499" w14:textId="77777777" w:rsidR="00D36448" w:rsidRPr="009707A7" w:rsidRDefault="00D36448" w:rsidP="00CD44EA">
            <w:pPr>
              <w:tabs>
                <w:tab w:val="left" w:pos="3500"/>
              </w:tabs>
              <w:spacing w:before="60" w:after="60"/>
              <w:jc w:val="both"/>
              <w:rPr>
                <w:rFonts w:ascii="Arial" w:hAnsi="Arial" w:cs="Arial"/>
                <w:sz w:val="20"/>
                <w:szCs w:val="20"/>
                <w:lang w:val="es-ES_tradnl"/>
              </w:rPr>
            </w:pPr>
            <w:r w:rsidRPr="009707A7">
              <w:rPr>
                <w:rFonts w:ascii="Arial" w:hAnsi="Arial" w:cs="Arial"/>
                <w:sz w:val="20"/>
                <w:szCs w:val="20"/>
                <w:lang w:val="es-ES_tradnl"/>
              </w:rPr>
              <w:t xml:space="preserve">Domingo </w:t>
            </w:r>
            <w:r w:rsidRPr="00710FF8">
              <w:rPr>
                <w:rFonts w:ascii="Arial" w:hAnsi="Arial" w:cs="Arial"/>
                <w:sz w:val="20"/>
                <w:szCs w:val="20"/>
                <w:lang w:val="es-ES_tradnl"/>
              </w:rPr>
              <w:t>de marzo con cambio de hora</w:t>
            </w:r>
          </w:p>
        </w:tc>
        <w:tc>
          <w:tcPr>
            <w:tcW w:w="1977" w:type="dxa"/>
            <w:tcBorders>
              <w:bottom w:val="single" w:sz="4" w:space="0" w:color="999999"/>
            </w:tcBorders>
            <w:shd w:val="clear" w:color="auto" w:fill="auto"/>
            <w:noWrap/>
            <w:vAlign w:val="center"/>
          </w:tcPr>
          <w:p w14:paraId="5922B2EA"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0,23</w:t>
            </w:r>
          </w:p>
        </w:tc>
      </w:tr>
      <w:tr w:rsidR="00D36448" w:rsidRPr="00AE30A8" w14:paraId="32EED6C5" w14:textId="77777777" w:rsidTr="00CD44EA">
        <w:trPr>
          <w:trHeight w:val="284"/>
          <w:jc w:val="center"/>
        </w:trPr>
        <w:tc>
          <w:tcPr>
            <w:tcW w:w="4863" w:type="dxa"/>
            <w:tcBorders>
              <w:bottom w:val="single" w:sz="4" w:space="0" w:color="999999"/>
            </w:tcBorders>
            <w:shd w:val="clear" w:color="auto" w:fill="auto"/>
            <w:noWrap/>
            <w:vAlign w:val="center"/>
          </w:tcPr>
          <w:p w14:paraId="7FB13DBC" w14:textId="77777777" w:rsidR="00D36448" w:rsidRPr="009707A7" w:rsidRDefault="00D36448" w:rsidP="00CD44EA">
            <w:pPr>
              <w:tabs>
                <w:tab w:val="left" w:pos="3500"/>
              </w:tabs>
              <w:spacing w:before="60" w:after="60"/>
              <w:jc w:val="both"/>
              <w:rPr>
                <w:rFonts w:ascii="Arial" w:hAnsi="Arial" w:cs="Arial"/>
                <w:sz w:val="20"/>
                <w:szCs w:val="20"/>
                <w:lang w:val="es-ES_tradnl"/>
              </w:rPr>
            </w:pPr>
            <w:r w:rsidRPr="009707A7">
              <w:rPr>
                <w:rFonts w:ascii="Arial" w:hAnsi="Arial" w:cs="Arial"/>
                <w:sz w:val="20"/>
                <w:szCs w:val="20"/>
                <w:lang w:val="es-ES_tradnl"/>
              </w:rPr>
              <w:t xml:space="preserve">Domingo de octubre </w:t>
            </w:r>
            <w:r w:rsidRPr="00710FF8">
              <w:rPr>
                <w:rFonts w:ascii="Arial" w:hAnsi="Arial" w:cs="Arial"/>
                <w:sz w:val="20"/>
                <w:szCs w:val="20"/>
                <w:lang w:val="es-ES_tradnl"/>
              </w:rPr>
              <w:t>con cambio de hora</w:t>
            </w:r>
          </w:p>
        </w:tc>
        <w:tc>
          <w:tcPr>
            <w:tcW w:w="1977" w:type="dxa"/>
            <w:tcBorders>
              <w:bottom w:val="single" w:sz="4" w:space="0" w:color="999999"/>
            </w:tcBorders>
            <w:shd w:val="clear" w:color="auto" w:fill="auto"/>
            <w:noWrap/>
            <w:vAlign w:val="center"/>
          </w:tcPr>
          <w:p w14:paraId="4D9A48FC"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0,25</w:t>
            </w:r>
          </w:p>
        </w:tc>
      </w:tr>
      <w:tr w:rsidR="00D36448" w:rsidRPr="00AE30A8" w14:paraId="30CE1D94" w14:textId="77777777" w:rsidTr="00CD44EA">
        <w:trPr>
          <w:trHeight w:val="111"/>
          <w:jc w:val="center"/>
        </w:trPr>
        <w:tc>
          <w:tcPr>
            <w:tcW w:w="4863" w:type="dxa"/>
            <w:tcBorders>
              <w:bottom w:val="single" w:sz="4" w:space="0" w:color="999999"/>
            </w:tcBorders>
            <w:shd w:val="clear" w:color="auto" w:fill="auto"/>
            <w:noWrap/>
            <w:vAlign w:val="center"/>
          </w:tcPr>
          <w:p w14:paraId="0FB21AA3" w14:textId="77777777" w:rsidR="00D36448" w:rsidRPr="008042C9" w:rsidRDefault="00D36448" w:rsidP="00CD44EA">
            <w:pPr>
              <w:tabs>
                <w:tab w:val="left" w:pos="3500"/>
              </w:tabs>
              <w:spacing w:before="60" w:after="60"/>
              <w:jc w:val="both"/>
              <w:rPr>
                <w:rFonts w:ascii="Arial" w:hAnsi="Arial" w:cs="Arial"/>
                <w:sz w:val="20"/>
                <w:szCs w:val="20"/>
              </w:rPr>
            </w:pPr>
          </w:p>
        </w:tc>
        <w:tc>
          <w:tcPr>
            <w:tcW w:w="1977" w:type="dxa"/>
            <w:tcBorders>
              <w:bottom w:val="single" w:sz="4" w:space="0" w:color="999999"/>
            </w:tcBorders>
            <w:shd w:val="clear" w:color="auto" w:fill="auto"/>
            <w:noWrap/>
            <w:vAlign w:val="center"/>
          </w:tcPr>
          <w:p w14:paraId="3EB4953D" w14:textId="77777777" w:rsidR="00D36448" w:rsidRPr="008042C9" w:rsidRDefault="00D36448" w:rsidP="00CD44EA">
            <w:pPr>
              <w:tabs>
                <w:tab w:val="left" w:pos="3500"/>
              </w:tabs>
              <w:spacing w:before="60" w:after="60"/>
              <w:jc w:val="center"/>
              <w:rPr>
                <w:rFonts w:ascii="Arial" w:hAnsi="Arial" w:cs="Arial"/>
                <w:sz w:val="20"/>
                <w:szCs w:val="20"/>
              </w:rPr>
            </w:pPr>
          </w:p>
        </w:tc>
      </w:tr>
      <w:tr w:rsidR="00D36448" w:rsidRPr="00AE30A8" w14:paraId="20C1E2E6" w14:textId="77777777" w:rsidTr="00CD44EA">
        <w:trPr>
          <w:trHeight w:val="284"/>
          <w:jc w:val="center"/>
        </w:trPr>
        <w:tc>
          <w:tcPr>
            <w:tcW w:w="4863" w:type="dxa"/>
            <w:tcBorders>
              <w:bottom w:val="single" w:sz="4" w:space="0" w:color="999999"/>
            </w:tcBorders>
            <w:shd w:val="clear" w:color="auto" w:fill="auto"/>
            <w:noWrap/>
            <w:vAlign w:val="center"/>
          </w:tcPr>
          <w:p w14:paraId="6E517720" w14:textId="77777777" w:rsidR="00D36448" w:rsidRPr="008042C9" w:rsidRDefault="00D36448" w:rsidP="00D36448">
            <w:pPr>
              <w:tabs>
                <w:tab w:val="left" w:pos="3500"/>
              </w:tabs>
              <w:spacing w:before="60" w:after="60"/>
              <w:jc w:val="both"/>
              <w:rPr>
                <w:rFonts w:ascii="Arial" w:hAnsi="Arial" w:cs="Arial"/>
                <w:b/>
                <w:sz w:val="20"/>
                <w:szCs w:val="20"/>
              </w:rPr>
            </w:pPr>
            <w:proofErr w:type="spellStart"/>
            <w:r w:rsidRPr="008042C9">
              <w:rPr>
                <w:rFonts w:ascii="Arial" w:hAnsi="Arial" w:cs="Arial"/>
                <w:b/>
                <w:sz w:val="20"/>
                <w:szCs w:val="20"/>
              </w:rPr>
              <w:t>Contratos</w:t>
            </w:r>
            <w:proofErr w:type="spellEnd"/>
            <w:r w:rsidRPr="008042C9">
              <w:rPr>
                <w:rFonts w:ascii="Arial" w:hAnsi="Arial" w:cs="Arial"/>
                <w:b/>
                <w:sz w:val="20"/>
                <w:szCs w:val="20"/>
              </w:rPr>
              <w:t xml:space="preserve"> Fi</w:t>
            </w:r>
            <w:r>
              <w:rPr>
                <w:rFonts w:ascii="Arial" w:hAnsi="Arial" w:cs="Arial"/>
                <w:b/>
                <w:sz w:val="20"/>
                <w:szCs w:val="20"/>
              </w:rPr>
              <w:t xml:space="preserve">n de </w:t>
            </w:r>
            <w:proofErr w:type="spellStart"/>
            <w:r w:rsidRPr="008042C9">
              <w:rPr>
                <w:rFonts w:ascii="Arial" w:hAnsi="Arial" w:cs="Arial"/>
                <w:b/>
                <w:sz w:val="20"/>
                <w:szCs w:val="20"/>
              </w:rPr>
              <w:t>Semana</w:t>
            </w:r>
            <w:proofErr w:type="spellEnd"/>
          </w:p>
        </w:tc>
        <w:tc>
          <w:tcPr>
            <w:tcW w:w="1977" w:type="dxa"/>
            <w:tcBorders>
              <w:bottom w:val="single" w:sz="4" w:space="0" w:color="999999"/>
            </w:tcBorders>
            <w:shd w:val="clear" w:color="auto" w:fill="auto"/>
            <w:noWrap/>
            <w:vAlign w:val="center"/>
          </w:tcPr>
          <w:p w14:paraId="465407F4" w14:textId="77777777" w:rsidR="00D36448" w:rsidRPr="008042C9" w:rsidRDefault="00D36448" w:rsidP="00CD44EA">
            <w:pPr>
              <w:tabs>
                <w:tab w:val="left" w:pos="3500"/>
              </w:tabs>
              <w:spacing w:before="60" w:after="60"/>
              <w:jc w:val="center"/>
              <w:rPr>
                <w:rFonts w:ascii="Arial" w:hAnsi="Arial" w:cs="Arial"/>
                <w:b/>
                <w:sz w:val="20"/>
                <w:szCs w:val="20"/>
              </w:rPr>
            </w:pPr>
            <w:proofErr w:type="spellStart"/>
            <w:r w:rsidRPr="008042C9">
              <w:rPr>
                <w:rFonts w:ascii="Arial" w:hAnsi="Arial" w:cs="Arial"/>
                <w:b/>
                <w:sz w:val="20"/>
                <w:szCs w:val="20"/>
              </w:rPr>
              <w:t>Valor</w:t>
            </w:r>
            <w:proofErr w:type="spellEnd"/>
            <w:r w:rsidRPr="008042C9">
              <w:rPr>
                <w:rFonts w:ascii="Arial" w:hAnsi="Arial" w:cs="Arial"/>
                <w:b/>
                <w:sz w:val="20"/>
                <w:szCs w:val="20"/>
              </w:rPr>
              <w:t xml:space="preserve"> d</w:t>
            </w:r>
            <w:r>
              <w:rPr>
                <w:rFonts w:ascii="Arial" w:hAnsi="Arial" w:cs="Arial"/>
                <w:b/>
                <w:sz w:val="20"/>
                <w:szCs w:val="20"/>
              </w:rPr>
              <w:t>el</w:t>
            </w:r>
            <w:r w:rsidRPr="008042C9">
              <w:rPr>
                <w:rFonts w:ascii="Arial" w:hAnsi="Arial" w:cs="Arial"/>
                <w:b/>
                <w:sz w:val="20"/>
                <w:szCs w:val="20"/>
              </w:rPr>
              <w:t xml:space="preserve"> Tick (€)</w:t>
            </w:r>
          </w:p>
        </w:tc>
      </w:tr>
      <w:tr w:rsidR="00D36448" w:rsidRPr="00AE30A8" w14:paraId="68326CB7" w14:textId="77777777" w:rsidTr="00CD44EA">
        <w:trPr>
          <w:trHeight w:val="284"/>
          <w:jc w:val="center"/>
        </w:trPr>
        <w:tc>
          <w:tcPr>
            <w:tcW w:w="4863" w:type="dxa"/>
            <w:tcBorders>
              <w:bottom w:val="single" w:sz="4" w:space="0" w:color="999999"/>
            </w:tcBorders>
            <w:shd w:val="clear" w:color="auto" w:fill="auto"/>
            <w:noWrap/>
            <w:vAlign w:val="center"/>
          </w:tcPr>
          <w:p w14:paraId="492A616E" w14:textId="77777777" w:rsidR="00D36448" w:rsidRPr="008042C9" w:rsidRDefault="00D36448" w:rsidP="00D36448">
            <w:pPr>
              <w:tabs>
                <w:tab w:val="left" w:pos="3500"/>
              </w:tabs>
              <w:spacing w:before="60" w:after="60"/>
              <w:jc w:val="both"/>
              <w:rPr>
                <w:rFonts w:ascii="Arial" w:hAnsi="Arial" w:cs="Arial"/>
                <w:sz w:val="20"/>
                <w:szCs w:val="20"/>
              </w:rPr>
            </w:pPr>
            <w:r w:rsidRPr="008042C9">
              <w:rPr>
                <w:rFonts w:ascii="Arial" w:hAnsi="Arial" w:cs="Arial"/>
                <w:sz w:val="20"/>
                <w:szCs w:val="20"/>
              </w:rPr>
              <w:t>Fi</w:t>
            </w:r>
            <w:r>
              <w:rPr>
                <w:rFonts w:ascii="Arial" w:hAnsi="Arial" w:cs="Arial"/>
                <w:sz w:val="20"/>
                <w:szCs w:val="20"/>
              </w:rPr>
              <w:t xml:space="preserve">n de </w:t>
            </w:r>
            <w:proofErr w:type="spellStart"/>
            <w:r w:rsidRPr="008042C9">
              <w:rPr>
                <w:rFonts w:ascii="Arial" w:hAnsi="Arial" w:cs="Arial"/>
                <w:sz w:val="20"/>
                <w:szCs w:val="20"/>
              </w:rPr>
              <w:t>Semana</w:t>
            </w:r>
            <w:proofErr w:type="spellEnd"/>
            <w:r w:rsidRPr="008042C9">
              <w:rPr>
                <w:rFonts w:ascii="Arial" w:hAnsi="Arial" w:cs="Arial"/>
                <w:sz w:val="20"/>
                <w:szCs w:val="20"/>
              </w:rPr>
              <w:t xml:space="preserve"> </w:t>
            </w:r>
            <w:proofErr w:type="spellStart"/>
            <w:r w:rsidRPr="008042C9">
              <w:rPr>
                <w:rFonts w:ascii="Arial" w:hAnsi="Arial" w:cs="Arial"/>
                <w:sz w:val="20"/>
                <w:szCs w:val="20"/>
              </w:rPr>
              <w:t>corr</w:t>
            </w:r>
            <w:r>
              <w:rPr>
                <w:rFonts w:ascii="Arial" w:hAnsi="Arial" w:cs="Arial"/>
                <w:sz w:val="20"/>
                <w:szCs w:val="20"/>
              </w:rPr>
              <w:t>i</w:t>
            </w:r>
            <w:r w:rsidRPr="008042C9">
              <w:rPr>
                <w:rFonts w:ascii="Arial" w:hAnsi="Arial" w:cs="Arial"/>
                <w:sz w:val="20"/>
                <w:szCs w:val="20"/>
              </w:rPr>
              <w:t>ente</w:t>
            </w:r>
            <w:proofErr w:type="spellEnd"/>
          </w:p>
        </w:tc>
        <w:tc>
          <w:tcPr>
            <w:tcW w:w="1977" w:type="dxa"/>
            <w:tcBorders>
              <w:bottom w:val="single" w:sz="4" w:space="0" w:color="999999"/>
            </w:tcBorders>
            <w:shd w:val="clear" w:color="auto" w:fill="auto"/>
            <w:noWrap/>
            <w:vAlign w:val="center"/>
          </w:tcPr>
          <w:p w14:paraId="79E8848F"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0,48</w:t>
            </w:r>
          </w:p>
        </w:tc>
      </w:tr>
      <w:tr w:rsidR="00D36448" w:rsidRPr="00AE30A8" w14:paraId="4704CB1A" w14:textId="77777777" w:rsidTr="00CD44EA">
        <w:trPr>
          <w:trHeight w:val="284"/>
          <w:jc w:val="center"/>
        </w:trPr>
        <w:tc>
          <w:tcPr>
            <w:tcW w:w="4863" w:type="dxa"/>
            <w:tcBorders>
              <w:bottom w:val="single" w:sz="4" w:space="0" w:color="999999"/>
            </w:tcBorders>
            <w:shd w:val="clear" w:color="auto" w:fill="auto"/>
            <w:noWrap/>
            <w:vAlign w:val="center"/>
          </w:tcPr>
          <w:p w14:paraId="7181919A" w14:textId="77777777" w:rsidR="00D36448" w:rsidRPr="009707A7" w:rsidRDefault="00D36448" w:rsidP="00CD44EA">
            <w:pPr>
              <w:tabs>
                <w:tab w:val="left" w:pos="3500"/>
              </w:tabs>
              <w:spacing w:before="60" w:after="60"/>
              <w:jc w:val="both"/>
              <w:rPr>
                <w:rFonts w:ascii="Arial" w:hAnsi="Arial" w:cs="Arial"/>
                <w:sz w:val="20"/>
                <w:szCs w:val="20"/>
                <w:lang w:val="es-ES_tradnl"/>
              </w:rPr>
            </w:pPr>
            <w:r w:rsidRPr="00D36448">
              <w:rPr>
                <w:rFonts w:ascii="Arial" w:hAnsi="Arial" w:cs="Arial"/>
                <w:sz w:val="20"/>
                <w:szCs w:val="20"/>
                <w:lang w:val="es-ES_tradnl"/>
              </w:rPr>
              <w:t xml:space="preserve">Fin de Semana </w:t>
            </w:r>
            <w:r w:rsidRPr="00710FF8">
              <w:rPr>
                <w:rFonts w:ascii="Arial" w:hAnsi="Arial" w:cs="Arial"/>
                <w:sz w:val="20"/>
                <w:szCs w:val="20"/>
                <w:lang w:val="es-ES_tradnl"/>
              </w:rPr>
              <w:t>de marzo con cambio de hora</w:t>
            </w:r>
          </w:p>
        </w:tc>
        <w:tc>
          <w:tcPr>
            <w:tcW w:w="1977" w:type="dxa"/>
            <w:tcBorders>
              <w:bottom w:val="single" w:sz="4" w:space="0" w:color="999999"/>
            </w:tcBorders>
            <w:shd w:val="clear" w:color="auto" w:fill="auto"/>
            <w:noWrap/>
            <w:vAlign w:val="center"/>
          </w:tcPr>
          <w:p w14:paraId="12BBBB15"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0,47</w:t>
            </w:r>
          </w:p>
        </w:tc>
      </w:tr>
      <w:tr w:rsidR="00D36448" w:rsidRPr="00EC74D7" w14:paraId="2BC7C43D" w14:textId="77777777" w:rsidTr="00CD44EA">
        <w:trPr>
          <w:trHeight w:val="284"/>
          <w:jc w:val="center"/>
        </w:trPr>
        <w:tc>
          <w:tcPr>
            <w:tcW w:w="4863" w:type="dxa"/>
            <w:tcBorders>
              <w:bottom w:val="single" w:sz="4" w:space="0" w:color="999999"/>
            </w:tcBorders>
            <w:shd w:val="clear" w:color="auto" w:fill="auto"/>
            <w:noWrap/>
            <w:vAlign w:val="center"/>
          </w:tcPr>
          <w:p w14:paraId="1DF0804F" w14:textId="77777777" w:rsidR="00D36448" w:rsidRPr="009707A7" w:rsidRDefault="00D36448" w:rsidP="00CD44EA">
            <w:pPr>
              <w:tabs>
                <w:tab w:val="left" w:pos="3500"/>
              </w:tabs>
              <w:spacing w:before="60" w:after="60"/>
              <w:jc w:val="both"/>
              <w:rPr>
                <w:rFonts w:ascii="Arial" w:hAnsi="Arial" w:cs="Arial"/>
                <w:sz w:val="20"/>
                <w:szCs w:val="20"/>
                <w:lang w:val="es-ES_tradnl"/>
              </w:rPr>
            </w:pPr>
            <w:r w:rsidRPr="00D36448">
              <w:rPr>
                <w:rFonts w:ascii="Arial" w:hAnsi="Arial" w:cs="Arial"/>
                <w:sz w:val="20"/>
                <w:szCs w:val="20"/>
                <w:lang w:val="es-ES_tradnl"/>
              </w:rPr>
              <w:t xml:space="preserve">Fin de Semana </w:t>
            </w:r>
            <w:r w:rsidRPr="009707A7">
              <w:rPr>
                <w:rFonts w:ascii="Arial" w:hAnsi="Arial" w:cs="Arial"/>
                <w:sz w:val="20"/>
                <w:szCs w:val="20"/>
                <w:lang w:val="es-ES_tradnl"/>
              </w:rPr>
              <w:t xml:space="preserve">de octubre </w:t>
            </w:r>
            <w:r w:rsidRPr="00710FF8">
              <w:rPr>
                <w:rFonts w:ascii="Arial" w:hAnsi="Arial" w:cs="Arial"/>
                <w:sz w:val="20"/>
                <w:szCs w:val="20"/>
                <w:lang w:val="es-ES_tradnl"/>
              </w:rPr>
              <w:t>con cambio de hora</w:t>
            </w:r>
          </w:p>
        </w:tc>
        <w:tc>
          <w:tcPr>
            <w:tcW w:w="1977" w:type="dxa"/>
            <w:tcBorders>
              <w:bottom w:val="single" w:sz="4" w:space="0" w:color="999999"/>
            </w:tcBorders>
            <w:shd w:val="clear" w:color="auto" w:fill="auto"/>
            <w:noWrap/>
            <w:vAlign w:val="center"/>
          </w:tcPr>
          <w:p w14:paraId="2E7724B3"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0,49</w:t>
            </w:r>
          </w:p>
        </w:tc>
      </w:tr>
    </w:tbl>
    <w:p w14:paraId="29C03081" w14:textId="77777777" w:rsidR="00D36448" w:rsidRDefault="00D36448"/>
    <w:p w14:paraId="4D117E42" w14:textId="77777777" w:rsidR="00D36448" w:rsidRDefault="00D36448"/>
    <w:p w14:paraId="33258910" w14:textId="77777777" w:rsidR="00D36448" w:rsidRDefault="00D36448"/>
    <w:tbl>
      <w:tblPr>
        <w:tblW w:w="6840" w:type="dxa"/>
        <w:jc w:val="center"/>
        <w:tblLook w:val="0000" w:firstRow="0" w:lastRow="0" w:firstColumn="0" w:lastColumn="0" w:noHBand="0" w:noVBand="0"/>
      </w:tblPr>
      <w:tblGrid>
        <w:gridCol w:w="4863"/>
        <w:gridCol w:w="1977"/>
      </w:tblGrid>
      <w:tr w:rsidR="00D36448" w:rsidRPr="00EC74D7" w14:paraId="7D0504DF" w14:textId="77777777" w:rsidTr="00CD44EA">
        <w:trPr>
          <w:trHeight w:val="284"/>
          <w:jc w:val="center"/>
        </w:trPr>
        <w:tc>
          <w:tcPr>
            <w:tcW w:w="4863" w:type="dxa"/>
            <w:tcBorders>
              <w:bottom w:val="single" w:sz="4" w:space="0" w:color="999999"/>
            </w:tcBorders>
            <w:shd w:val="clear" w:color="auto" w:fill="auto"/>
            <w:noWrap/>
            <w:vAlign w:val="center"/>
          </w:tcPr>
          <w:p w14:paraId="4207F18C" w14:textId="77777777" w:rsidR="00D36448" w:rsidRPr="008042C9" w:rsidRDefault="00D36448" w:rsidP="00CD44EA">
            <w:pPr>
              <w:tabs>
                <w:tab w:val="left" w:pos="3500"/>
              </w:tabs>
              <w:spacing w:before="60" w:after="60"/>
              <w:jc w:val="both"/>
              <w:rPr>
                <w:rFonts w:ascii="Arial" w:hAnsi="Arial" w:cs="Arial"/>
                <w:sz w:val="20"/>
                <w:szCs w:val="20"/>
              </w:rPr>
            </w:pPr>
          </w:p>
        </w:tc>
        <w:tc>
          <w:tcPr>
            <w:tcW w:w="1977" w:type="dxa"/>
            <w:tcBorders>
              <w:bottom w:val="single" w:sz="4" w:space="0" w:color="999999"/>
            </w:tcBorders>
            <w:shd w:val="clear" w:color="auto" w:fill="auto"/>
            <w:noWrap/>
            <w:vAlign w:val="center"/>
          </w:tcPr>
          <w:p w14:paraId="45CA4D51" w14:textId="77777777" w:rsidR="00D36448" w:rsidRPr="008042C9" w:rsidRDefault="00D36448" w:rsidP="00CD44EA">
            <w:pPr>
              <w:tabs>
                <w:tab w:val="left" w:pos="3500"/>
              </w:tabs>
              <w:spacing w:before="60" w:after="60"/>
              <w:jc w:val="center"/>
              <w:rPr>
                <w:rFonts w:ascii="Arial" w:hAnsi="Arial" w:cs="Arial"/>
                <w:sz w:val="20"/>
                <w:szCs w:val="20"/>
              </w:rPr>
            </w:pPr>
          </w:p>
        </w:tc>
      </w:tr>
      <w:tr w:rsidR="00D36448" w:rsidRPr="00EC74D7" w14:paraId="54DB2256" w14:textId="77777777" w:rsidTr="00CD44EA">
        <w:trPr>
          <w:trHeight w:val="284"/>
          <w:jc w:val="center"/>
        </w:trPr>
        <w:tc>
          <w:tcPr>
            <w:tcW w:w="4863" w:type="dxa"/>
            <w:tcBorders>
              <w:bottom w:val="single" w:sz="4" w:space="0" w:color="999999"/>
            </w:tcBorders>
            <w:shd w:val="clear" w:color="auto" w:fill="auto"/>
            <w:noWrap/>
            <w:vAlign w:val="center"/>
          </w:tcPr>
          <w:p w14:paraId="4498E728" w14:textId="77777777" w:rsidR="00D36448" w:rsidRPr="008042C9" w:rsidRDefault="00D36448" w:rsidP="00CD44EA">
            <w:pPr>
              <w:tabs>
                <w:tab w:val="left" w:pos="3500"/>
              </w:tabs>
              <w:spacing w:before="60" w:after="60"/>
              <w:jc w:val="both"/>
              <w:rPr>
                <w:rFonts w:ascii="Arial" w:hAnsi="Arial" w:cs="Arial"/>
                <w:b/>
                <w:sz w:val="20"/>
                <w:szCs w:val="20"/>
              </w:rPr>
            </w:pPr>
            <w:proofErr w:type="spellStart"/>
            <w:r w:rsidRPr="008042C9">
              <w:rPr>
                <w:rFonts w:ascii="Arial" w:hAnsi="Arial" w:cs="Arial"/>
                <w:b/>
                <w:sz w:val="20"/>
                <w:szCs w:val="20"/>
              </w:rPr>
              <w:t>Contratos</w:t>
            </w:r>
            <w:proofErr w:type="spellEnd"/>
            <w:r w:rsidRPr="008042C9">
              <w:rPr>
                <w:rFonts w:ascii="Arial" w:hAnsi="Arial" w:cs="Arial"/>
                <w:b/>
                <w:sz w:val="20"/>
                <w:szCs w:val="20"/>
              </w:rPr>
              <w:t xml:space="preserve"> </w:t>
            </w:r>
            <w:proofErr w:type="spellStart"/>
            <w:r w:rsidRPr="008042C9">
              <w:rPr>
                <w:rFonts w:ascii="Arial" w:hAnsi="Arial" w:cs="Arial"/>
                <w:b/>
                <w:sz w:val="20"/>
                <w:szCs w:val="20"/>
              </w:rPr>
              <w:t>Semana</w:t>
            </w:r>
            <w:proofErr w:type="spellEnd"/>
          </w:p>
        </w:tc>
        <w:tc>
          <w:tcPr>
            <w:tcW w:w="1977" w:type="dxa"/>
            <w:tcBorders>
              <w:bottom w:val="single" w:sz="4" w:space="0" w:color="999999"/>
            </w:tcBorders>
            <w:shd w:val="clear" w:color="auto" w:fill="auto"/>
            <w:noWrap/>
            <w:vAlign w:val="center"/>
          </w:tcPr>
          <w:p w14:paraId="38E8C505" w14:textId="77777777" w:rsidR="00D36448" w:rsidRPr="008042C9" w:rsidRDefault="00D36448" w:rsidP="00CD44EA">
            <w:pPr>
              <w:tabs>
                <w:tab w:val="left" w:pos="3500"/>
              </w:tabs>
              <w:spacing w:before="60" w:after="60"/>
              <w:jc w:val="center"/>
              <w:rPr>
                <w:rFonts w:ascii="Arial" w:hAnsi="Arial" w:cs="Arial"/>
                <w:b/>
                <w:sz w:val="20"/>
                <w:szCs w:val="20"/>
              </w:rPr>
            </w:pPr>
            <w:proofErr w:type="spellStart"/>
            <w:r w:rsidRPr="008042C9">
              <w:rPr>
                <w:rFonts w:ascii="Arial" w:hAnsi="Arial" w:cs="Arial"/>
                <w:b/>
                <w:sz w:val="20"/>
                <w:szCs w:val="20"/>
              </w:rPr>
              <w:t>Valor</w:t>
            </w:r>
            <w:proofErr w:type="spellEnd"/>
            <w:r w:rsidRPr="008042C9">
              <w:rPr>
                <w:rFonts w:ascii="Arial" w:hAnsi="Arial" w:cs="Arial"/>
                <w:b/>
                <w:sz w:val="20"/>
                <w:szCs w:val="20"/>
              </w:rPr>
              <w:t xml:space="preserve"> d</w:t>
            </w:r>
            <w:r>
              <w:rPr>
                <w:rFonts w:ascii="Arial" w:hAnsi="Arial" w:cs="Arial"/>
                <w:b/>
                <w:sz w:val="20"/>
                <w:szCs w:val="20"/>
              </w:rPr>
              <w:t>el</w:t>
            </w:r>
            <w:r w:rsidRPr="008042C9">
              <w:rPr>
                <w:rFonts w:ascii="Arial" w:hAnsi="Arial" w:cs="Arial"/>
                <w:b/>
                <w:sz w:val="20"/>
                <w:szCs w:val="20"/>
              </w:rPr>
              <w:t xml:space="preserve"> Tick (€)</w:t>
            </w:r>
          </w:p>
        </w:tc>
      </w:tr>
      <w:tr w:rsidR="00D36448" w:rsidRPr="00EC74D7" w14:paraId="52298A86"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75C12F0E" w14:textId="77777777" w:rsidR="00D36448" w:rsidRPr="008042C9" w:rsidRDefault="00D36448" w:rsidP="00CD44EA">
            <w:pPr>
              <w:tabs>
                <w:tab w:val="left" w:pos="3500"/>
              </w:tabs>
              <w:spacing w:before="60" w:after="60"/>
              <w:jc w:val="both"/>
              <w:rPr>
                <w:rFonts w:ascii="Arial" w:hAnsi="Arial" w:cs="Arial"/>
                <w:sz w:val="20"/>
                <w:szCs w:val="20"/>
              </w:rPr>
            </w:pPr>
            <w:proofErr w:type="spellStart"/>
            <w:r w:rsidRPr="008042C9">
              <w:rPr>
                <w:rFonts w:ascii="Arial" w:hAnsi="Arial" w:cs="Arial"/>
                <w:sz w:val="20"/>
                <w:szCs w:val="20"/>
              </w:rPr>
              <w:t>Semana</w:t>
            </w:r>
            <w:proofErr w:type="spellEnd"/>
            <w:r w:rsidRPr="008042C9">
              <w:rPr>
                <w:rFonts w:ascii="Arial" w:hAnsi="Arial" w:cs="Arial"/>
                <w:sz w:val="20"/>
                <w:szCs w:val="20"/>
              </w:rPr>
              <w:t xml:space="preserve"> </w:t>
            </w:r>
            <w:proofErr w:type="spellStart"/>
            <w:r w:rsidRPr="008042C9">
              <w:rPr>
                <w:rFonts w:ascii="Arial" w:hAnsi="Arial" w:cs="Arial"/>
                <w:sz w:val="20"/>
                <w:szCs w:val="20"/>
              </w:rPr>
              <w:t>corrente</w:t>
            </w:r>
            <w:proofErr w:type="spellEnd"/>
          </w:p>
        </w:tc>
        <w:tc>
          <w:tcPr>
            <w:tcW w:w="1977" w:type="dxa"/>
            <w:tcBorders>
              <w:top w:val="single" w:sz="4" w:space="0" w:color="999999"/>
              <w:bottom w:val="single" w:sz="4" w:space="0" w:color="999999"/>
            </w:tcBorders>
            <w:shd w:val="clear" w:color="auto" w:fill="auto"/>
            <w:noWrap/>
            <w:vAlign w:val="center"/>
          </w:tcPr>
          <w:p w14:paraId="0F3728EB"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1,68</w:t>
            </w:r>
          </w:p>
        </w:tc>
      </w:tr>
      <w:tr w:rsidR="00D36448" w:rsidRPr="00EC74D7" w14:paraId="39C401EA"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1EB417A4" w14:textId="77777777" w:rsidR="00D36448" w:rsidRPr="009707A7" w:rsidRDefault="00D36448" w:rsidP="00CD44EA">
            <w:pPr>
              <w:tabs>
                <w:tab w:val="left" w:pos="3500"/>
              </w:tabs>
              <w:spacing w:before="60" w:after="60"/>
              <w:jc w:val="both"/>
              <w:rPr>
                <w:rFonts w:ascii="Arial" w:hAnsi="Arial" w:cs="Arial"/>
                <w:sz w:val="20"/>
                <w:szCs w:val="20"/>
                <w:lang w:val="es-ES_tradnl"/>
              </w:rPr>
            </w:pPr>
            <w:r w:rsidRPr="009707A7">
              <w:rPr>
                <w:rFonts w:ascii="Arial" w:hAnsi="Arial" w:cs="Arial"/>
                <w:sz w:val="20"/>
                <w:szCs w:val="20"/>
                <w:lang w:val="es-ES_tradnl"/>
              </w:rPr>
              <w:t xml:space="preserve">Semana </w:t>
            </w:r>
            <w:r w:rsidRPr="00710FF8">
              <w:rPr>
                <w:rFonts w:ascii="Arial" w:hAnsi="Arial" w:cs="Arial"/>
                <w:sz w:val="20"/>
                <w:szCs w:val="20"/>
                <w:lang w:val="es-ES_tradnl"/>
              </w:rPr>
              <w:t>de marzo con cambio de hora</w:t>
            </w:r>
          </w:p>
        </w:tc>
        <w:tc>
          <w:tcPr>
            <w:tcW w:w="1977" w:type="dxa"/>
            <w:tcBorders>
              <w:top w:val="single" w:sz="4" w:space="0" w:color="999999"/>
              <w:bottom w:val="single" w:sz="4" w:space="0" w:color="999999"/>
            </w:tcBorders>
            <w:shd w:val="clear" w:color="auto" w:fill="auto"/>
            <w:noWrap/>
            <w:vAlign w:val="center"/>
          </w:tcPr>
          <w:p w14:paraId="7DFBA3B3"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1,67</w:t>
            </w:r>
          </w:p>
        </w:tc>
      </w:tr>
      <w:tr w:rsidR="00D36448" w:rsidRPr="00EC74D7" w14:paraId="6389C03E"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2F8A3976" w14:textId="77777777" w:rsidR="00D36448" w:rsidRPr="009707A7" w:rsidRDefault="00D36448" w:rsidP="00CD44EA">
            <w:pPr>
              <w:tabs>
                <w:tab w:val="left" w:pos="3500"/>
              </w:tabs>
              <w:spacing w:before="60" w:after="60"/>
              <w:jc w:val="both"/>
              <w:rPr>
                <w:rFonts w:ascii="Arial" w:hAnsi="Arial" w:cs="Arial"/>
                <w:sz w:val="20"/>
                <w:szCs w:val="20"/>
                <w:lang w:val="es-ES_tradnl"/>
              </w:rPr>
            </w:pPr>
            <w:r w:rsidRPr="009707A7">
              <w:rPr>
                <w:rFonts w:ascii="Arial" w:hAnsi="Arial" w:cs="Arial"/>
                <w:sz w:val="20"/>
                <w:szCs w:val="20"/>
                <w:lang w:val="es-ES_tradnl"/>
              </w:rPr>
              <w:t xml:space="preserve">Semana de octubre </w:t>
            </w:r>
            <w:r w:rsidRPr="00710FF8">
              <w:rPr>
                <w:rFonts w:ascii="Arial" w:hAnsi="Arial" w:cs="Arial"/>
                <w:sz w:val="20"/>
                <w:szCs w:val="20"/>
                <w:lang w:val="es-ES_tradnl"/>
              </w:rPr>
              <w:t>con cambio de hora</w:t>
            </w:r>
          </w:p>
        </w:tc>
        <w:tc>
          <w:tcPr>
            <w:tcW w:w="1977" w:type="dxa"/>
            <w:tcBorders>
              <w:top w:val="single" w:sz="4" w:space="0" w:color="999999"/>
              <w:bottom w:val="single" w:sz="4" w:space="0" w:color="999999"/>
            </w:tcBorders>
            <w:shd w:val="clear" w:color="auto" w:fill="auto"/>
            <w:noWrap/>
            <w:vAlign w:val="center"/>
          </w:tcPr>
          <w:p w14:paraId="64CB3A55"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1,69</w:t>
            </w:r>
          </w:p>
        </w:tc>
      </w:tr>
      <w:tr w:rsidR="00D36448" w:rsidRPr="00EC74D7" w14:paraId="0EEFA6DE" w14:textId="77777777" w:rsidTr="00CD44EA">
        <w:trPr>
          <w:trHeight w:val="284"/>
          <w:jc w:val="center"/>
        </w:trPr>
        <w:tc>
          <w:tcPr>
            <w:tcW w:w="4863" w:type="dxa"/>
            <w:tcBorders>
              <w:top w:val="single" w:sz="4" w:space="0" w:color="999999"/>
            </w:tcBorders>
            <w:shd w:val="clear" w:color="auto" w:fill="auto"/>
            <w:noWrap/>
            <w:vAlign w:val="center"/>
          </w:tcPr>
          <w:p w14:paraId="36A103E8" w14:textId="77777777" w:rsidR="00D36448" w:rsidRPr="008042C9" w:rsidRDefault="00D36448" w:rsidP="00CD44EA">
            <w:pPr>
              <w:tabs>
                <w:tab w:val="left" w:pos="3500"/>
              </w:tabs>
              <w:spacing w:before="60" w:after="60"/>
              <w:jc w:val="both"/>
              <w:rPr>
                <w:rFonts w:ascii="Arial" w:hAnsi="Arial" w:cs="Arial"/>
                <w:sz w:val="20"/>
                <w:szCs w:val="20"/>
              </w:rPr>
            </w:pPr>
          </w:p>
        </w:tc>
        <w:tc>
          <w:tcPr>
            <w:tcW w:w="1977" w:type="dxa"/>
            <w:tcBorders>
              <w:top w:val="single" w:sz="4" w:space="0" w:color="999999"/>
            </w:tcBorders>
            <w:shd w:val="clear" w:color="auto" w:fill="auto"/>
            <w:noWrap/>
            <w:vAlign w:val="center"/>
          </w:tcPr>
          <w:p w14:paraId="5A1FBF02" w14:textId="77777777" w:rsidR="00D36448" w:rsidRPr="008042C9" w:rsidRDefault="00D36448" w:rsidP="00CD44EA">
            <w:pPr>
              <w:tabs>
                <w:tab w:val="left" w:pos="3500"/>
              </w:tabs>
              <w:spacing w:before="60" w:after="60"/>
              <w:jc w:val="center"/>
              <w:rPr>
                <w:rFonts w:ascii="Arial" w:hAnsi="Arial" w:cs="Arial"/>
                <w:sz w:val="20"/>
                <w:szCs w:val="20"/>
              </w:rPr>
            </w:pPr>
          </w:p>
        </w:tc>
      </w:tr>
      <w:tr w:rsidR="00D36448" w:rsidRPr="008042C9" w14:paraId="7C65B2B6" w14:textId="77777777" w:rsidTr="00CD44EA">
        <w:trPr>
          <w:trHeight w:val="284"/>
          <w:jc w:val="center"/>
        </w:trPr>
        <w:tc>
          <w:tcPr>
            <w:tcW w:w="4863" w:type="dxa"/>
            <w:tcBorders>
              <w:bottom w:val="single" w:sz="4" w:space="0" w:color="999999"/>
            </w:tcBorders>
            <w:shd w:val="clear" w:color="auto" w:fill="auto"/>
            <w:noWrap/>
            <w:vAlign w:val="center"/>
          </w:tcPr>
          <w:p w14:paraId="1AE13EC9" w14:textId="77777777" w:rsidR="00D36448" w:rsidRPr="008042C9" w:rsidRDefault="00D36448" w:rsidP="00CD44EA">
            <w:pPr>
              <w:tabs>
                <w:tab w:val="left" w:pos="3500"/>
              </w:tabs>
              <w:spacing w:before="60" w:after="60"/>
              <w:jc w:val="both"/>
              <w:rPr>
                <w:rFonts w:ascii="Arial" w:hAnsi="Arial" w:cs="Arial"/>
                <w:b/>
                <w:sz w:val="20"/>
                <w:szCs w:val="20"/>
              </w:rPr>
            </w:pPr>
            <w:proofErr w:type="spellStart"/>
            <w:r w:rsidRPr="008042C9">
              <w:rPr>
                <w:rFonts w:ascii="Arial" w:hAnsi="Arial" w:cs="Arial"/>
                <w:b/>
                <w:sz w:val="20"/>
                <w:szCs w:val="20"/>
              </w:rPr>
              <w:t>Contratos</w:t>
            </w:r>
            <w:proofErr w:type="spellEnd"/>
            <w:r w:rsidRPr="008042C9">
              <w:rPr>
                <w:rFonts w:ascii="Arial" w:hAnsi="Arial" w:cs="Arial"/>
                <w:b/>
                <w:sz w:val="20"/>
                <w:szCs w:val="20"/>
              </w:rPr>
              <w:t xml:space="preserve"> </w:t>
            </w:r>
            <w:proofErr w:type="spellStart"/>
            <w:r w:rsidRPr="008042C9">
              <w:rPr>
                <w:rFonts w:ascii="Arial" w:hAnsi="Arial" w:cs="Arial"/>
                <w:b/>
                <w:sz w:val="20"/>
                <w:szCs w:val="20"/>
              </w:rPr>
              <w:t>M</w:t>
            </w:r>
            <w:r>
              <w:rPr>
                <w:rFonts w:ascii="Arial" w:hAnsi="Arial" w:cs="Arial"/>
                <w:b/>
                <w:sz w:val="20"/>
                <w:szCs w:val="20"/>
              </w:rPr>
              <w:t>e</w:t>
            </w:r>
            <w:r w:rsidRPr="008042C9">
              <w:rPr>
                <w:rFonts w:ascii="Arial" w:hAnsi="Arial" w:cs="Arial"/>
                <w:b/>
                <w:sz w:val="20"/>
                <w:szCs w:val="20"/>
              </w:rPr>
              <w:t>s</w:t>
            </w:r>
            <w:proofErr w:type="spellEnd"/>
          </w:p>
        </w:tc>
        <w:tc>
          <w:tcPr>
            <w:tcW w:w="1977" w:type="dxa"/>
            <w:tcBorders>
              <w:bottom w:val="single" w:sz="4" w:space="0" w:color="999999"/>
            </w:tcBorders>
            <w:shd w:val="clear" w:color="auto" w:fill="auto"/>
            <w:noWrap/>
            <w:vAlign w:val="center"/>
          </w:tcPr>
          <w:p w14:paraId="4E3257F8" w14:textId="77777777" w:rsidR="00D36448" w:rsidRPr="008042C9" w:rsidRDefault="00D36448" w:rsidP="00CD44EA">
            <w:pPr>
              <w:tabs>
                <w:tab w:val="left" w:pos="3500"/>
              </w:tabs>
              <w:spacing w:before="60" w:after="60"/>
              <w:jc w:val="center"/>
              <w:rPr>
                <w:rFonts w:ascii="Arial" w:hAnsi="Arial" w:cs="Arial"/>
                <w:b/>
                <w:sz w:val="20"/>
                <w:szCs w:val="20"/>
              </w:rPr>
            </w:pPr>
            <w:proofErr w:type="spellStart"/>
            <w:r w:rsidRPr="008042C9">
              <w:rPr>
                <w:rFonts w:ascii="Arial" w:hAnsi="Arial" w:cs="Arial"/>
                <w:b/>
                <w:sz w:val="20"/>
                <w:szCs w:val="20"/>
              </w:rPr>
              <w:t>Valor</w:t>
            </w:r>
            <w:proofErr w:type="spellEnd"/>
            <w:r w:rsidRPr="008042C9">
              <w:rPr>
                <w:rFonts w:ascii="Arial" w:hAnsi="Arial" w:cs="Arial"/>
                <w:b/>
                <w:sz w:val="20"/>
                <w:szCs w:val="20"/>
              </w:rPr>
              <w:t xml:space="preserve"> d</w:t>
            </w:r>
            <w:r>
              <w:rPr>
                <w:rFonts w:ascii="Arial" w:hAnsi="Arial" w:cs="Arial"/>
                <w:b/>
                <w:sz w:val="20"/>
                <w:szCs w:val="20"/>
              </w:rPr>
              <w:t>el</w:t>
            </w:r>
            <w:r w:rsidRPr="008042C9">
              <w:rPr>
                <w:rFonts w:ascii="Arial" w:hAnsi="Arial" w:cs="Arial"/>
                <w:b/>
                <w:sz w:val="20"/>
                <w:szCs w:val="20"/>
              </w:rPr>
              <w:t xml:space="preserve"> Tick (€)</w:t>
            </w:r>
          </w:p>
        </w:tc>
      </w:tr>
      <w:tr w:rsidR="00D36448" w:rsidRPr="00EC74D7" w14:paraId="4209838A"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6485E65A" w14:textId="77777777" w:rsidR="00D36448" w:rsidRPr="00710FF8" w:rsidRDefault="00D36448" w:rsidP="00CD44EA">
            <w:pPr>
              <w:tabs>
                <w:tab w:val="left" w:pos="3500"/>
              </w:tabs>
              <w:spacing w:before="60" w:after="60"/>
              <w:jc w:val="both"/>
              <w:rPr>
                <w:rFonts w:ascii="Arial" w:hAnsi="Arial" w:cs="Arial"/>
                <w:sz w:val="20"/>
                <w:szCs w:val="20"/>
              </w:rPr>
            </w:pPr>
            <w:proofErr w:type="spellStart"/>
            <w:r w:rsidRPr="00710FF8">
              <w:rPr>
                <w:rFonts w:ascii="Arial" w:hAnsi="Arial" w:cs="Arial"/>
                <w:sz w:val="20"/>
                <w:szCs w:val="20"/>
              </w:rPr>
              <w:t>Febrero</w:t>
            </w:r>
            <w:proofErr w:type="spellEnd"/>
          </w:p>
        </w:tc>
        <w:tc>
          <w:tcPr>
            <w:tcW w:w="1977" w:type="dxa"/>
            <w:tcBorders>
              <w:top w:val="single" w:sz="4" w:space="0" w:color="999999"/>
              <w:bottom w:val="single" w:sz="4" w:space="0" w:color="999999"/>
            </w:tcBorders>
            <w:shd w:val="clear" w:color="auto" w:fill="auto"/>
            <w:noWrap/>
            <w:vAlign w:val="center"/>
          </w:tcPr>
          <w:p w14:paraId="7FE2FCCF"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6,72</w:t>
            </w:r>
          </w:p>
        </w:tc>
      </w:tr>
      <w:tr w:rsidR="00D36448" w:rsidRPr="00EC74D7" w14:paraId="404168E2"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0208262B" w14:textId="77777777" w:rsidR="00D36448" w:rsidRPr="00710FF8" w:rsidRDefault="00D36448" w:rsidP="00CD44EA">
            <w:pPr>
              <w:tabs>
                <w:tab w:val="left" w:pos="3500"/>
              </w:tabs>
              <w:spacing w:before="60" w:after="60"/>
              <w:jc w:val="both"/>
              <w:rPr>
                <w:rFonts w:ascii="Arial" w:hAnsi="Arial" w:cs="Arial"/>
                <w:sz w:val="20"/>
                <w:szCs w:val="20"/>
              </w:rPr>
            </w:pPr>
            <w:proofErr w:type="spellStart"/>
            <w:r w:rsidRPr="00710FF8">
              <w:rPr>
                <w:rFonts w:ascii="Arial" w:hAnsi="Arial" w:cs="Arial"/>
                <w:sz w:val="20"/>
                <w:szCs w:val="20"/>
              </w:rPr>
              <w:t>Febrero</w:t>
            </w:r>
            <w:proofErr w:type="spellEnd"/>
            <w:r w:rsidRPr="00710FF8">
              <w:rPr>
                <w:rFonts w:ascii="Arial" w:hAnsi="Arial" w:cs="Arial"/>
                <w:sz w:val="20"/>
                <w:szCs w:val="20"/>
              </w:rPr>
              <w:t xml:space="preserve"> (</w:t>
            </w:r>
            <w:proofErr w:type="spellStart"/>
            <w:r w:rsidRPr="00710FF8">
              <w:rPr>
                <w:rFonts w:ascii="Arial" w:hAnsi="Arial" w:cs="Arial"/>
                <w:sz w:val="20"/>
                <w:szCs w:val="20"/>
              </w:rPr>
              <w:t>año</w:t>
            </w:r>
            <w:proofErr w:type="spellEnd"/>
            <w:r w:rsidRPr="00710FF8">
              <w:rPr>
                <w:rFonts w:ascii="Arial" w:hAnsi="Arial" w:cs="Arial"/>
                <w:sz w:val="20"/>
                <w:szCs w:val="20"/>
              </w:rPr>
              <w:t xml:space="preserve"> </w:t>
            </w:r>
            <w:proofErr w:type="spellStart"/>
            <w:r w:rsidRPr="00710FF8">
              <w:rPr>
                <w:rFonts w:ascii="Arial" w:hAnsi="Arial" w:cs="Arial"/>
                <w:sz w:val="20"/>
                <w:szCs w:val="20"/>
              </w:rPr>
              <w:t>bisiesto</w:t>
            </w:r>
            <w:proofErr w:type="spellEnd"/>
            <w:r w:rsidRPr="00710FF8">
              <w:rPr>
                <w:rFonts w:ascii="Arial" w:hAnsi="Arial" w:cs="Arial"/>
                <w:sz w:val="20"/>
                <w:szCs w:val="20"/>
              </w:rPr>
              <w:t>)</w:t>
            </w:r>
          </w:p>
        </w:tc>
        <w:tc>
          <w:tcPr>
            <w:tcW w:w="1977" w:type="dxa"/>
            <w:tcBorders>
              <w:top w:val="single" w:sz="4" w:space="0" w:color="999999"/>
              <w:bottom w:val="single" w:sz="4" w:space="0" w:color="999999"/>
            </w:tcBorders>
            <w:shd w:val="clear" w:color="auto" w:fill="auto"/>
            <w:noWrap/>
            <w:vAlign w:val="center"/>
          </w:tcPr>
          <w:p w14:paraId="0DACFBB8"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6,96</w:t>
            </w:r>
          </w:p>
        </w:tc>
      </w:tr>
      <w:tr w:rsidR="00D36448" w:rsidRPr="00EC74D7" w14:paraId="60A790F9"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286188EF" w14:textId="77777777" w:rsidR="00D36448" w:rsidRPr="00710FF8" w:rsidRDefault="00D36448" w:rsidP="00CD44EA">
            <w:pPr>
              <w:tabs>
                <w:tab w:val="left" w:pos="3500"/>
              </w:tabs>
              <w:spacing w:before="60" w:after="60"/>
              <w:jc w:val="both"/>
              <w:rPr>
                <w:rFonts w:ascii="Arial" w:hAnsi="Arial" w:cs="Arial"/>
                <w:sz w:val="20"/>
                <w:szCs w:val="20"/>
              </w:rPr>
            </w:pPr>
            <w:r w:rsidRPr="00710FF8">
              <w:rPr>
                <w:rFonts w:ascii="Arial" w:hAnsi="Arial" w:cs="Arial"/>
                <w:sz w:val="20"/>
                <w:szCs w:val="20"/>
              </w:rPr>
              <w:t xml:space="preserve">Abril, </w:t>
            </w:r>
            <w:proofErr w:type="spellStart"/>
            <w:r w:rsidRPr="00710FF8">
              <w:rPr>
                <w:rFonts w:ascii="Arial" w:hAnsi="Arial" w:cs="Arial"/>
                <w:sz w:val="20"/>
                <w:szCs w:val="20"/>
              </w:rPr>
              <w:t>junio</w:t>
            </w:r>
            <w:proofErr w:type="spellEnd"/>
            <w:r w:rsidRPr="00710FF8">
              <w:rPr>
                <w:rFonts w:ascii="Arial" w:hAnsi="Arial" w:cs="Arial"/>
                <w:sz w:val="20"/>
                <w:szCs w:val="20"/>
              </w:rPr>
              <w:t xml:space="preserve">, </w:t>
            </w:r>
            <w:proofErr w:type="spellStart"/>
            <w:r w:rsidRPr="00710FF8">
              <w:rPr>
                <w:rFonts w:ascii="Arial" w:hAnsi="Arial" w:cs="Arial"/>
                <w:sz w:val="20"/>
                <w:szCs w:val="20"/>
              </w:rPr>
              <w:t>septiembre</w:t>
            </w:r>
            <w:proofErr w:type="spellEnd"/>
            <w:r w:rsidRPr="00710FF8">
              <w:rPr>
                <w:rFonts w:ascii="Arial" w:hAnsi="Arial" w:cs="Arial"/>
                <w:sz w:val="20"/>
                <w:szCs w:val="20"/>
              </w:rPr>
              <w:t xml:space="preserve">, </w:t>
            </w:r>
            <w:proofErr w:type="spellStart"/>
            <w:r w:rsidRPr="00710FF8">
              <w:rPr>
                <w:rFonts w:ascii="Arial" w:hAnsi="Arial" w:cs="Arial"/>
                <w:sz w:val="20"/>
                <w:szCs w:val="20"/>
              </w:rPr>
              <w:t>noviembre</w:t>
            </w:r>
            <w:proofErr w:type="spellEnd"/>
          </w:p>
        </w:tc>
        <w:tc>
          <w:tcPr>
            <w:tcW w:w="1977" w:type="dxa"/>
            <w:tcBorders>
              <w:top w:val="single" w:sz="4" w:space="0" w:color="999999"/>
              <w:bottom w:val="single" w:sz="4" w:space="0" w:color="999999"/>
            </w:tcBorders>
            <w:shd w:val="clear" w:color="auto" w:fill="auto"/>
            <w:noWrap/>
            <w:vAlign w:val="center"/>
          </w:tcPr>
          <w:p w14:paraId="40CF02B4"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7,20</w:t>
            </w:r>
          </w:p>
        </w:tc>
      </w:tr>
      <w:tr w:rsidR="00D36448" w:rsidRPr="00EC74D7" w14:paraId="7051BFE3"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17719BA4" w14:textId="77777777" w:rsidR="00D36448" w:rsidRPr="00710FF8" w:rsidRDefault="00D36448" w:rsidP="00CD44EA">
            <w:pPr>
              <w:tabs>
                <w:tab w:val="left" w:pos="3500"/>
              </w:tabs>
              <w:spacing w:before="60" w:after="60"/>
              <w:jc w:val="both"/>
              <w:rPr>
                <w:rFonts w:ascii="Arial" w:hAnsi="Arial" w:cs="Arial"/>
                <w:sz w:val="20"/>
                <w:szCs w:val="20"/>
                <w:lang w:val="es-ES_tradnl"/>
              </w:rPr>
            </w:pPr>
            <w:r w:rsidRPr="00710FF8">
              <w:rPr>
                <w:rFonts w:ascii="Arial" w:hAnsi="Arial" w:cs="Arial"/>
                <w:sz w:val="20"/>
                <w:szCs w:val="20"/>
                <w:lang w:val="es-ES_tradnl"/>
              </w:rPr>
              <w:t>Enero, mayo, julio, agosto, diciembre</w:t>
            </w:r>
          </w:p>
        </w:tc>
        <w:tc>
          <w:tcPr>
            <w:tcW w:w="1977" w:type="dxa"/>
            <w:tcBorders>
              <w:top w:val="single" w:sz="4" w:space="0" w:color="999999"/>
              <w:bottom w:val="single" w:sz="4" w:space="0" w:color="999999"/>
            </w:tcBorders>
            <w:shd w:val="clear" w:color="auto" w:fill="auto"/>
            <w:noWrap/>
            <w:vAlign w:val="center"/>
          </w:tcPr>
          <w:p w14:paraId="7C6CADBA"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7,44</w:t>
            </w:r>
          </w:p>
        </w:tc>
      </w:tr>
      <w:tr w:rsidR="00D36448" w:rsidRPr="00EC74D7" w14:paraId="0933FE63"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0B3B6978" w14:textId="77777777" w:rsidR="00D36448" w:rsidRPr="00710FF8" w:rsidRDefault="00D36448" w:rsidP="00CD44EA">
            <w:pPr>
              <w:tabs>
                <w:tab w:val="left" w:pos="3500"/>
              </w:tabs>
              <w:spacing w:before="60" w:after="60"/>
              <w:jc w:val="both"/>
              <w:rPr>
                <w:rFonts w:ascii="Arial" w:hAnsi="Arial" w:cs="Arial"/>
                <w:sz w:val="20"/>
                <w:szCs w:val="20"/>
              </w:rPr>
            </w:pPr>
            <w:proofErr w:type="spellStart"/>
            <w:r w:rsidRPr="00710FF8">
              <w:rPr>
                <w:rFonts w:ascii="Arial" w:hAnsi="Arial" w:cs="Arial"/>
                <w:sz w:val="20"/>
                <w:szCs w:val="20"/>
              </w:rPr>
              <w:t>Marzo</w:t>
            </w:r>
            <w:proofErr w:type="spellEnd"/>
          </w:p>
        </w:tc>
        <w:tc>
          <w:tcPr>
            <w:tcW w:w="1977" w:type="dxa"/>
            <w:tcBorders>
              <w:top w:val="single" w:sz="4" w:space="0" w:color="999999"/>
              <w:bottom w:val="single" w:sz="4" w:space="0" w:color="999999"/>
            </w:tcBorders>
            <w:shd w:val="clear" w:color="auto" w:fill="auto"/>
            <w:noWrap/>
            <w:vAlign w:val="center"/>
          </w:tcPr>
          <w:p w14:paraId="0149D9C5"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7,43</w:t>
            </w:r>
          </w:p>
        </w:tc>
      </w:tr>
      <w:tr w:rsidR="00D36448" w:rsidRPr="00EC74D7" w14:paraId="16A6DB97"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2AB2C8B3" w14:textId="77777777" w:rsidR="00D36448" w:rsidRPr="00710FF8" w:rsidRDefault="00D36448" w:rsidP="00CD44EA">
            <w:pPr>
              <w:tabs>
                <w:tab w:val="left" w:pos="3500"/>
              </w:tabs>
              <w:spacing w:before="60" w:after="60"/>
              <w:jc w:val="both"/>
              <w:rPr>
                <w:rFonts w:ascii="Arial" w:hAnsi="Arial" w:cs="Arial"/>
                <w:sz w:val="20"/>
                <w:szCs w:val="20"/>
              </w:rPr>
            </w:pPr>
            <w:proofErr w:type="spellStart"/>
            <w:r w:rsidRPr="00710FF8">
              <w:rPr>
                <w:rFonts w:ascii="Arial" w:hAnsi="Arial" w:cs="Arial"/>
                <w:sz w:val="20"/>
                <w:szCs w:val="20"/>
              </w:rPr>
              <w:t>Octubre</w:t>
            </w:r>
            <w:proofErr w:type="spellEnd"/>
          </w:p>
        </w:tc>
        <w:tc>
          <w:tcPr>
            <w:tcW w:w="1977" w:type="dxa"/>
            <w:tcBorders>
              <w:top w:val="single" w:sz="4" w:space="0" w:color="999999"/>
              <w:bottom w:val="single" w:sz="4" w:space="0" w:color="999999"/>
            </w:tcBorders>
            <w:shd w:val="clear" w:color="auto" w:fill="auto"/>
            <w:noWrap/>
            <w:vAlign w:val="center"/>
          </w:tcPr>
          <w:p w14:paraId="27CA4ADE"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7,45</w:t>
            </w:r>
          </w:p>
        </w:tc>
      </w:tr>
      <w:tr w:rsidR="00D36448" w:rsidRPr="00EC74D7" w14:paraId="6A889A2D" w14:textId="77777777" w:rsidTr="00CD44EA">
        <w:trPr>
          <w:trHeight w:val="284"/>
          <w:jc w:val="center"/>
        </w:trPr>
        <w:tc>
          <w:tcPr>
            <w:tcW w:w="4863" w:type="dxa"/>
            <w:tcBorders>
              <w:top w:val="single" w:sz="4" w:space="0" w:color="999999"/>
            </w:tcBorders>
            <w:shd w:val="clear" w:color="auto" w:fill="auto"/>
            <w:noWrap/>
            <w:vAlign w:val="center"/>
          </w:tcPr>
          <w:p w14:paraId="1A42DCC7" w14:textId="77777777" w:rsidR="00D36448" w:rsidRPr="008042C9" w:rsidRDefault="00D36448" w:rsidP="00CD44EA">
            <w:pPr>
              <w:tabs>
                <w:tab w:val="left" w:pos="3500"/>
              </w:tabs>
              <w:spacing w:before="60" w:after="60"/>
              <w:jc w:val="both"/>
              <w:rPr>
                <w:rFonts w:ascii="Arial" w:hAnsi="Arial" w:cs="Arial"/>
                <w:sz w:val="20"/>
                <w:szCs w:val="20"/>
              </w:rPr>
            </w:pPr>
          </w:p>
        </w:tc>
        <w:tc>
          <w:tcPr>
            <w:tcW w:w="1977" w:type="dxa"/>
            <w:tcBorders>
              <w:top w:val="single" w:sz="4" w:space="0" w:color="999999"/>
            </w:tcBorders>
            <w:shd w:val="clear" w:color="auto" w:fill="auto"/>
            <w:noWrap/>
            <w:vAlign w:val="center"/>
          </w:tcPr>
          <w:p w14:paraId="121C80DF" w14:textId="77777777" w:rsidR="00D36448" w:rsidRPr="008042C9" w:rsidRDefault="00D36448" w:rsidP="00CD44EA">
            <w:pPr>
              <w:tabs>
                <w:tab w:val="left" w:pos="3500"/>
              </w:tabs>
              <w:spacing w:before="60" w:after="60"/>
              <w:jc w:val="center"/>
              <w:rPr>
                <w:rFonts w:ascii="Arial" w:hAnsi="Arial" w:cs="Arial"/>
                <w:sz w:val="20"/>
                <w:szCs w:val="20"/>
              </w:rPr>
            </w:pPr>
          </w:p>
        </w:tc>
      </w:tr>
      <w:tr w:rsidR="00D36448" w:rsidRPr="00EC74D7" w14:paraId="260E6852" w14:textId="77777777" w:rsidTr="00CD44EA">
        <w:trPr>
          <w:trHeight w:val="284"/>
          <w:jc w:val="center"/>
        </w:trPr>
        <w:tc>
          <w:tcPr>
            <w:tcW w:w="4863" w:type="dxa"/>
            <w:tcBorders>
              <w:bottom w:val="single" w:sz="4" w:space="0" w:color="999999"/>
            </w:tcBorders>
            <w:shd w:val="clear" w:color="auto" w:fill="auto"/>
            <w:noWrap/>
            <w:vAlign w:val="center"/>
          </w:tcPr>
          <w:p w14:paraId="158FAA85" w14:textId="77777777" w:rsidR="00D36448" w:rsidRPr="008042C9" w:rsidRDefault="00D36448" w:rsidP="00CD44EA">
            <w:pPr>
              <w:tabs>
                <w:tab w:val="left" w:pos="3500"/>
              </w:tabs>
              <w:spacing w:before="60" w:after="60"/>
              <w:jc w:val="both"/>
              <w:rPr>
                <w:rFonts w:ascii="Arial" w:hAnsi="Arial" w:cs="Arial"/>
                <w:b/>
                <w:sz w:val="20"/>
                <w:szCs w:val="20"/>
              </w:rPr>
            </w:pPr>
            <w:proofErr w:type="spellStart"/>
            <w:r w:rsidRPr="008042C9">
              <w:rPr>
                <w:rFonts w:ascii="Arial" w:hAnsi="Arial" w:cs="Arial"/>
                <w:b/>
                <w:sz w:val="20"/>
                <w:szCs w:val="20"/>
              </w:rPr>
              <w:t>Contratos</w:t>
            </w:r>
            <w:proofErr w:type="spellEnd"/>
            <w:r w:rsidRPr="008042C9">
              <w:rPr>
                <w:rFonts w:ascii="Arial" w:hAnsi="Arial" w:cs="Arial"/>
                <w:b/>
                <w:sz w:val="20"/>
                <w:szCs w:val="20"/>
              </w:rPr>
              <w:t xml:space="preserve"> </w:t>
            </w:r>
            <w:proofErr w:type="spellStart"/>
            <w:r w:rsidRPr="008042C9">
              <w:rPr>
                <w:rFonts w:ascii="Arial" w:hAnsi="Arial" w:cs="Arial"/>
                <w:b/>
                <w:sz w:val="20"/>
                <w:szCs w:val="20"/>
              </w:rPr>
              <w:t>Trimestre</w:t>
            </w:r>
            <w:proofErr w:type="spellEnd"/>
          </w:p>
        </w:tc>
        <w:tc>
          <w:tcPr>
            <w:tcW w:w="1977" w:type="dxa"/>
            <w:tcBorders>
              <w:bottom w:val="single" w:sz="4" w:space="0" w:color="999999"/>
            </w:tcBorders>
            <w:shd w:val="clear" w:color="auto" w:fill="auto"/>
            <w:noWrap/>
            <w:vAlign w:val="center"/>
          </w:tcPr>
          <w:p w14:paraId="438D7D58" w14:textId="77777777" w:rsidR="00D36448" w:rsidRPr="008042C9" w:rsidRDefault="00D36448" w:rsidP="00CD44EA">
            <w:pPr>
              <w:tabs>
                <w:tab w:val="left" w:pos="3500"/>
              </w:tabs>
              <w:spacing w:before="60" w:after="60"/>
              <w:jc w:val="center"/>
              <w:rPr>
                <w:rFonts w:ascii="Arial" w:hAnsi="Arial" w:cs="Arial"/>
                <w:b/>
                <w:sz w:val="20"/>
                <w:szCs w:val="20"/>
              </w:rPr>
            </w:pPr>
            <w:proofErr w:type="spellStart"/>
            <w:r w:rsidRPr="008042C9">
              <w:rPr>
                <w:rFonts w:ascii="Arial" w:hAnsi="Arial" w:cs="Arial"/>
                <w:b/>
                <w:sz w:val="20"/>
                <w:szCs w:val="20"/>
              </w:rPr>
              <w:t>Valor</w:t>
            </w:r>
            <w:proofErr w:type="spellEnd"/>
            <w:r w:rsidRPr="008042C9">
              <w:rPr>
                <w:rFonts w:ascii="Arial" w:hAnsi="Arial" w:cs="Arial"/>
                <w:b/>
                <w:sz w:val="20"/>
                <w:szCs w:val="20"/>
              </w:rPr>
              <w:t xml:space="preserve"> d</w:t>
            </w:r>
            <w:r>
              <w:rPr>
                <w:rFonts w:ascii="Arial" w:hAnsi="Arial" w:cs="Arial"/>
                <w:b/>
                <w:sz w:val="20"/>
                <w:szCs w:val="20"/>
              </w:rPr>
              <w:t>el</w:t>
            </w:r>
            <w:r w:rsidRPr="008042C9">
              <w:rPr>
                <w:rFonts w:ascii="Arial" w:hAnsi="Arial" w:cs="Arial"/>
                <w:b/>
                <w:sz w:val="20"/>
                <w:szCs w:val="20"/>
              </w:rPr>
              <w:t xml:space="preserve"> Tick (€)</w:t>
            </w:r>
          </w:p>
        </w:tc>
      </w:tr>
      <w:tr w:rsidR="00D36448" w:rsidRPr="00EC74D7" w14:paraId="65085541"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11C4D2FB" w14:textId="77777777" w:rsidR="00D36448" w:rsidRPr="008042C9" w:rsidRDefault="00D36448" w:rsidP="00CD44EA">
            <w:pPr>
              <w:tabs>
                <w:tab w:val="left" w:pos="3500"/>
              </w:tabs>
              <w:spacing w:before="60" w:after="60"/>
              <w:jc w:val="both"/>
              <w:rPr>
                <w:rFonts w:ascii="Arial" w:hAnsi="Arial" w:cs="Arial"/>
                <w:sz w:val="20"/>
                <w:szCs w:val="20"/>
              </w:rPr>
            </w:pPr>
            <w:r w:rsidRPr="008042C9">
              <w:rPr>
                <w:rFonts w:ascii="Arial" w:hAnsi="Arial" w:cs="Arial"/>
                <w:sz w:val="20"/>
                <w:szCs w:val="20"/>
              </w:rPr>
              <w:t>1</w:t>
            </w:r>
            <w:r>
              <w:rPr>
                <w:rFonts w:ascii="Arial" w:hAnsi="Arial" w:cs="Arial"/>
                <w:sz w:val="20"/>
                <w:szCs w:val="20"/>
                <w:vertAlign w:val="superscript"/>
              </w:rPr>
              <w:t xml:space="preserve">º </w:t>
            </w:r>
            <w:proofErr w:type="spellStart"/>
            <w:r w:rsidRPr="008042C9">
              <w:rPr>
                <w:rFonts w:ascii="Arial" w:hAnsi="Arial" w:cs="Arial"/>
                <w:sz w:val="20"/>
                <w:szCs w:val="20"/>
              </w:rPr>
              <w:t>trimestre</w:t>
            </w:r>
            <w:proofErr w:type="spellEnd"/>
          </w:p>
        </w:tc>
        <w:tc>
          <w:tcPr>
            <w:tcW w:w="1977" w:type="dxa"/>
            <w:tcBorders>
              <w:top w:val="single" w:sz="4" w:space="0" w:color="999999"/>
              <w:bottom w:val="single" w:sz="4" w:space="0" w:color="999999"/>
            </w:tcBorders>
            <w:shd w:val="clear" w:color="auto" w:fill="auto"/>
            <w:noWrap/>
            <w:vAlign w:val="center"/>
          </w:tcPr>
          <w:p w14:paraId="46DE9BB5"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21,59</w:t>
            </w:r>
          </w:p>
        </w:tc>
      </w:tr>
      <w:tr w:rsidR="00D36448" w:rsidRPr="00EC74D7" w14:paraId="6AB658D6"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0BBB8B0A" w14:textId="77777777" w:rsidR="00D36448" w:rsidRPr="008042C9" w:rsidRDefault="00D36448" w:rsidP="00CD44EA">
            <w:pPr>
              <w:tabs>
                <w:tab w:val="left" w:pos="3500"/>
              </w:tabs>
              <w:spacing w:before="60" w:after="60"/>
              <w:jc w:val="both"/>
              <w:rPr>
                <w:rFonts w:ascii="Arial" w:hAnsi="Arial" w:cs="Arial"/>
                <w:sz w:val="20"/>
                <w:szCs w:val="20"/>
              </w:rPr>
            </w:pPr>
            <w:r w:rsidRPr="008042C9">
              <w:rPr>
                <w:rFonts w:ascii="Arial" w:hAnsi="Arial" w:cs="Arial"/>
                <w:sz w:val="20"/>
                <w:szCs w:val="20"/>
              </w:rPr>
              <w:t>1</w:t>
            </w:r>
            <w:r>
              <w:rPr>
                <w:rFonts w:ascii="Arial" w:hAnsi="Arial" w:cs="Arial"/>
                <w:sz w:val="20"/>
                <w:szCs w:val="20"/>
                <w:vertAlign w:val="superscript"/>
              </w:rPr>
              <w:t>º</w:t>
            </w:r>
            <w:r w:rsidRPr="008042C9">
              <w:rPr>
                <w:rFonts w:ascii="Arial" w:hAnsi="Arial" w:cs="Arial"/>
                <w:sz w:val="20"/>
                <w:szCs w:val="20"/>
              </w:rPr>
              <w:t xml:space="preserve"> </w:t>
            </w:r>
            <w:proofErr w:type="spellStart"/>
            <w:r w:rsidRPr="008042C9">
              <w:rPr>
                <w:rFonts w:ascii="Arial" w:hAnsi="Arial" w:cs="Arial"/>
                <w:sz w:val="20"/>
                <w:szCs w:val="20"/>
              </w:rPr>
              <w:t>trimestre</w:t>
            </w:r>
            <w:proofErr w:type="spellEnd"/>
            <w:r w:rsidRPr="008042C9">
              <w:rPr>
                <w:rFonts w:ascii="Arial" w:hAnsi="Arial" w:cs="Arial"/>
                <w:sz w:val="20"/>
                <w:szCs w:val="20"/>
              </w:rPr>
              <w:t xml:space="preserve"> (</w:t>
            </w:r>
            <w:proofErr w:type="spellStart"/>
            <w:r w:rsidRPr="008042C9">
              <w:rPr>
                <w:rFonts w:ascii="Arial" w:hAnsi="Arial" w:cs="Arial"/>
                <w:sz w:val="20"/>
                <w:szCs w:val="20"/>
              </w:rPr>
              <w:t>a</w:t>
            </w:r>
            <w:r>
              <w:rPr>
                <w:rFonts w:ascii="Arial" w:hAnsi="Arial" w:cs="Arial"/>
                <w:sz w:val="20"/>
                <w:szCs w:val="20"/>
              </w:rPr>
              <w:t>ñ</w:t>
            </w:r>
            <w:r w:rsidRPr="008042C9">
              <w:rPr>
                <w:rFonts w:ascii="Arial" w:hAnsi="Arial" w:cs="Arial"/>
                <w:sz w:val="20"/>
                <w:szCs w:val="20"/>
              </w:rPr>
              <w:t>o</w:t>
            </w:r>
            <w:proofErr w:type="spellEnd"/>
            <w:r w:rsidRPr="008042C9">
              <w:rPr>
                <w:rFonts w:ascii="Arial" w:hAnsi="Arial" w:cs="Arial"/>
                <w:sz w:val="20"/>
                <w:szCs w:val="20"/>
              </w:rPr>
              <w:t xml:space="preserve"> </w:t>
            </w:r>
            <w:proofErr w:type="spellStart"/>
            <w:r w:rsidRPr="008042C9">
              <w:rPr>
                <w:rFonts w:ascii="Arial" w:hAnsi="Arial" w:cs="Arial"/>
                <w:sz w:val="20"/>
                <w:szCs w:val="20"/>
              </w:rPr>
              <w:t>bissexto</w:t>
            </w:r>
            <w:proofErr w:type="spellEnd"/>
            <w:r w:rsidRPr="008042C9">
              <w:rPr>
                <w:rFonts w:ascii="Arial" w:hAnsi="Arial" w:cs="Arial"/>
                <w:sz w:val="20"/>
                <w:szCs w:val="20"/>
              </w:rPr>
              <w:t>)</w:t>
            </w:r>
          </w:p>
        </w:tc>
        <w:tc>
          <w:tcPr>
            <w:tcW w:w="1977" w:type="dxa"/>
            <w:tcBorders>
              <w:top w:val="single" w:sz="4" w:space="0" w:color="999999"/>
              <w:bottom w:val="single" w:sz="4" w:space="0" w:color="999999"/>
            </w:tcBorders>
            <w:shd w:val="clear" w:color="auto" w:fill="auto"/>
            <w:noWrap/>
            <w:vAlign w:val="center"/>
          </w:tcPr>
          <w:p w14:paraId="34D1ABBE"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21,83</w:t>
            </w:r>
          </w:p>
        </w:tc>
      </w:tr>
      <w:tr w:rsidR="00D36448" w:rsidRPr="00EC74D7" w14:paraId="5C487944"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707AE826" w14:textId="77777777" w:rsidR="00D36448" w:rsidRPr="008042C9" w:rsidRDefault="00D36448" w:rsidP="00CD44EA">
            <w:pPr>
              <w:tabs>
                <w:tab w:val="left" w:pos="3500"/>
              </w:tabs>
              <w:spacing w:before="60" w:after="60"/>
              <w:jc w:val="both"/>
              <w:rPr>
                <w:rFonts w:ascii="Arial" w:hAnsi="Arial" w:cs="Arial"/>
                <w:sz w:val="20"/>
                <w:szCs w:val="20"/>
              </w:rPr>
            </w:pPr>
            <w:r w:rsidRPr="008042C9">
              <w:rPr>
                <w:rFonts w:ascii="Arial" w:hAnsi="Arial" w:cs="Arial"/>
                <w:sz w:val="20"/>
                <w:szCs w:val="20"/>
              </w:rPr>
              <w:t>2</w:t>
            </w:r>
            <w:r>
              <w:rPr>
                <w:rFonts w:ascii="Arial" w:hAnsi="Arial" w:cs="Arial"/>
                <w:sz w:val="20"/>
                <w:szCs w:val="20"/>
              </w:rPr>
              <w:t>º</w:t>
            </w:r>
            <w:r w:rsidRPr="008042C9">
              <w:rPr>
                <w:rFonts w:ascii="Arial" w:hAnsi="Arial" w:cs="Arial"/>
                <w:sz w:val="20"/>
                <w:szCs w:val="20"/>
              </w:rPr>
              <w:t xml:space="preserve"> </w:t>
            </w:r>
            <w:proofErr w:type="spellStart"/>
            <w:r w:rsidRPr="008042C9">
              <w:rPr>
                <w:rFonts w:ascii="Arial" w:hAnsi="Arial" w:cs="Arial"/>
                <w:sz w:val="20"/>
                <w:szCs w:val="20"/>
              </w:rPr>
              <w:t>trimestre</w:t>
            </w:r>
            <w:proofErr w:type="spellEnd"/>
          </w:p>
        </w:tc>
        <w:tc>
          <w:tcPr>
            <w:tcW w:w="1977" w:type="dxa"/>
            <w:tcBorders>
              <w:top w:val="single" w:sz="4" w:space="0" w:color="999999"/>
              <w:bottom w:val="single" w:sz="4" w:space="0" w:color="999999"/>
            </w:tcBorders>
            <w:shd w:val="clear" w:color="auto" w:fill="auto"/>
            <w:noWrap/>
            <w:vAlign w:val="center"/>
          </w:tcPr>
          <w:p w14:paraId="3628F4EA"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21,84</w:t>
            </w:r>
          </w:p>
        </w:tc>
      </w:tr>
      <w:tr w:rsidR="00D36448" w:rsidRPr="00EC74D7" w14:paraId="06325372"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636111BF" w14:textId="77777777" w:rsidR="00D36448" w:rsidRPr="008042C9" w:rsidRDefault="00D36448" w:rsidP="00CD44EA">
            <w:pPr>
              <w:tabs>
                <w:tab w:val="left" w:pos="3500"/>
              </w:tabs>
              <w:spacing w:before="60" w:after="60"/>
              <w:jc w:val="both"/>
              <w:rPr>
                <w:rFonts w:ascii="Arial" w:hAnsi="Arial" w:cs="Arial"/>
                <w:sz w:val="20"/>
                <w:szCs w:val="20"/>
              </w:rPr>
            </w:pPr>
            <w:r w:rsidRPr="008042C9">
              <w:rPr>
                <w:rFonts w:ascii="Arial" w:hAnsi="Arial" w:cs="Arial"/>
                <w:sz w:val="20"/>
                <w:szCs w:val="20"/>
              </w:rPr>
              <w:t>3</w:t>
            </w:r>
            <w:r>
              <w:rPr>
                <w:rFonts w:ascii="Arial" w:hAnsi="Arial" w:cs="Arial"/>
                <w:sz w:val="20"/>
                <w:szCs w:val="20"/>
                <w:vertAlign w:val="superscript"/>
              </w:rPr>
              <w:t>º</w:t>
            </w:r>
            <w:r w:rsidRPr="008042C9">
              <w:rPr>
                <w:rFonts w:ascii="Arial" w:hAnsi="Arial" w:cs="Arial"/>
                <w:sz w:val="20"/>
                <w:szCs w:val="20"/>
              </w:rPr>
              <w:t xml:space="preserve"> </w:t>
            </w:r>
            <w:proofErr w:type="spellStart"/>
            <w:r w:rsidRPr="008042C9">
              <w:rPr>
                <w:rFonts w:ascii="Arial" w:hAnsi="Arial" w:cs="Arial"/>
                <w:sz w:val="20"/>
                <w:szCs w:val="20"/>
              </w:rPr>
              <w:t>trimestre</w:t>
            </w:r>
            <w:proofErr w:type="spellEnd"/>
          </w:p>
        </w:tc>
        <w:tc>
          <w:tcPr>
            <w:tcW w:w="1977" w:type="dxa"/>
            <w:tcBorders>
              <w:top w:val="single" w:sz="4" w:space="0" w:color="999999"/>
              <w:bottom w:val="single" w:sz="4" w:space="0" w:color="999999"/>
            </w:tcBorders>
            <w:shd w:val="clear" w:color="auto" w:fill="auto"/>
            <w:noWrap/>
            <w:vAlign w:val="center"/>
          </w:tcPr>
          <w:p w14:paraId="1DF2C9BF"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22,08</w:t>
            </w:r>
          </w:p>
        </w:tc>
      </w:tr>
      <w:tr w:rsidR="00D36448" w:rsidRPr="00EC74D7" w14:paraId="4E5E1EF4"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53B7F296" w14:textId="77777777" w:rsidR="00D36448" w:rsidRPr="008042C9" w:rsidRDefault="00D36448" w:rsidP="00CD44EA">
            <w:pPr>
              <w:tabs>
                <w:tab w:val="left" w:pos="3500"/>
              </w:tabs>
              <w:spacing w:before="60" w:after="60"/>
              <w:jc w:val="both"/>
              <w:rPr>
                <w:rFonts w:ascii="Arial" w:hAnsi="Arial" w:cs="Arial"/>
                <w:sz w:val="20"/>
                <w:szCs w:val="20"/>
              </w:rPr>
            </w:pPr>
            <w:r w:rsidRPr="008042C9">
              <w:rPr>
                <w:rFonts w:ascii="Arial" w:hAnsi="Arial" w:cs="Arial"/>
                <w:sz w:val="20"/>
                <w:szCs w:val="20"/>
              </w:rPr>
              <w:t xml:space="preserve">4º </w:t>
            </w:r>
            <w:proofErr w:type="spellStart"/>
            <w:r w:rsidRPr="008042C9">
              <w:rPr>
                <w:rFonts w:ascii="Arial" w:hAnsi="Arial" w:cs="Arial"/>
                <w:sz w:val="20"/>
                <w:szCs w:val="20"/>
              </w:rPr>
              <w:t>trimestre</w:t>
            </w:r>
            <w:proofErr w:type="spellEnd"/>
          </w:p>
        </w:tc>
        <w:tc>
          <w:tcPr>
            <w:tcW w:w="1977" w:type="dxa"/>
            <w:tcBorders>
              <w:top w:val="single" w:sz="4" w:space="0" w:color="999999"/>
              <w:bottom w:val="single" w:sz="4" w:space="0" w:color="999999"/>
            </w:tcBorders>
            <w:shd w:val="clear" w:color="auto" w:fill="auto"/>
            <w:noWrap/>
            <w:vAlign w:val="center"/>
          </w:tcPr>
          <w:p w14:paraId="52E24AD8"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22,09</w:t>
            </w:r>
          </w:p>
        </w:tc>
      </w:tr>
      <w:tr w:rsidR="00D36448" w:rsidRPr="00EC74D7" w14:paraId="1229E3B8" w14:textId="77777777" w:rsidTr="00CD44EA">
        <w:trPr>
          <w:trHeight w:val="284"/>
          <w:jc w:val="center"/>
        </w:trPr>
        <w:tc>
          <w:tcPr>
            <w:tcW w:w="4863" w:type="dxa"/>
            <w:tcBorders>
              <w:top w:val="single" w:sz="4" w:space="0" w:color="999999"/>
            </w:tcBorders>
            <w:shd w:val="clear" w:color="auto" w:fill="auto"/>
            <w:noWrap/>
            <w:vAlign w:val="center"/>
          </w:tcPr>
          <w:p w14:paraId="0BD6525B" w14:textId="77777777" w:rsidR="00D36448" w:rsidRPr="008042C9" w:rsidRDefault="00D36448" w:rsidP="00CD44EA">
            <w:pPr>
              <w:tabs>
                <w:tab w:val="left" w:pos="3500"/>
              </w:tabs>
              <w:spacing w:before="60" w:after="60"/>
              <w:jc w:val="both"/>
              <w:rPr>
                <w:rFonts w:ascii="Arial" w:hAnsi="Arial" w:cs="Arial"/>
                <w:sz w:val="20"/>
                <w:szCs w:val="20"/>
              </w:rPr>
            </w:pPr>
          </w:p>
        </w:tc>
        <w:tc>
          <w:tcPr>
            <w:tcW w:w="1977" w:type="dxa"/>
            <w:tcBorders>
              <w:top w:val="single" w:sz="4" w:space="0" w:color="999999"/>
            </w:tcBorders>
            <w:shd w:val="clear" w:color="auto" w:fill="auto"/>
            <w:noWrap/>
            <w:vAlign w:val="center"/>
          </w:tcPr>
          <w:p w14:paraId="38222D20" w14:textId="77777777" w:rsidR="00D36448" w:rsidRPr="008042C9" w:rsidRDefault="00D36448" w:rsidP="00CD44EA">
            <w:pPr>
              <w:tabs>
                <w:tab w:val="left" w:pos="3500"/>
              </w:tabs>
              <w:spacing w:before="60" w:after="60"/>
              <w:jc w:val="center"/>
              <w:rPr>
                <w:rFonts w:ascii="Arial" w:hAnsi="Arial" w:cs="Arial"/>
                <w:sz w:val="20"/>
                <w:szCs w:val="20"/>
              </w:rPr>
            </w:pPr>
          </w:p>
        </w:tc>
      </w:tr>
      <w:tr w:rsidR="00D36448" w:rsidRPr="00EC74D7" w14:paraId="3675538A" w14:textId="77777777" w:rsidTr="00CD44EA">
        <w:trPr>
          <w:trHeight w:val="284"/>
          <w:jc w:val="center"/>
        </w:trPr>
        <w:tc>
          <w:tcPr>
            <w:tcW w:w="4863" w:type="dxa"/>
            <w:tcBorders>
              <w:bottom w:val="single" w:sz="4" w:space="0" w:color="999999"/>
            </w:tcBorders>
            <w:shd w:val="clear" w:color="auto" w:fill="auto"/>
            <w:noWrap/>
            <w:vAlign w:val="center"/>
          </w:tcPr>
          <w:p w14:paraId="6C11BB12" w14:textId="77777777" w:rsidR="00D36448" w:rsidRPr="008042C9" w:rsidRDefault="00D36448" w:rsidP="00CD44EA">
            <w:pPr>
              <w:tabs>
                <w:tab w:val="left" w:pos="3500"/>
              </w:tabs>
              <w:spacing w:before="60" w:after="60"/>
              <w:jc w:val="both"/>
              <w:rPr>
                <w:rFonts w:ascii="Arial" w:hAnsi="Arial" w:cs="Arial"/>
                <w:b/>
                <w:sz w:val="20"/>
                <w:szCs w:val="20"/>
              </w:rPr>
            </w:pPr>
            <w:proofErr w:type="spellStart"/>
            <w:r>
              <w:rPr>
                <w:rFonts w:ascii="Arial" w:hAnsi="Arial" w:cs="Arial"/>
                <w:b/>
                <w:sz w:val="20"/>
                <w:szCs w:val="20"/>
              </w:rPr>
              <w:t>Contratos</w:t>
            </w:r>
            <w:proofErr w:type="spellEnd"/>
            <w:r>
              <w:rPr>
                <w:rFonts w:ascii="Arial" w:hAnsi="Arial" w:cs="Arial"/>
                <w:b/>
                <w:sz w:val="20"/>
                <w:szCs w:val="20"/>
              </w:rPr>
              <w:t xml:space="preserve"> </w:t>
            </w:r>
            <w:proofErr w:type="spellStart"/>
            <w:r>
              <w:rPr>
                <w:rFonts w:ascii="Arial" w:hAnsi="Arial" w:cs="Arial"/>
                <w:b/>
                <w:sz w:val="20"/>
                <w:szCs w:val="20"/>
              </w:rPr>
              <w:t>Añ</w:t>
            </w:r>
            <w:r w:rsidRPr="008042C9">
              <w:rPr>
                <w:rFonts w:ascii="Arial" w:hAnsi="Arial" w:cs="Arial"/>
                <w:b/>
                <w:sz w:val="20"/>
                <w:szCs w:val="20"/>
              </w:rPr>
              <w:t>o</w:t>
            </w:r>
            <w:proofErr w:type="spellEnd"/>
          </w:p>
        </w:tc>
        <w:tc>
          <w:tcPr>
            <w:tcW w:w="1977" w:type="dxa"/>
            <w:tcBorders>
              <w:bottom w:val="single" w:sz="4" w:space="0" w:color="999999"/>
            </w:tcBorders>
            <w:shd w:val="clear" w:color="auto" w:fill="auto"/>
            <w:noWrap/>
            <w:vAlign w:val="center"/>
          </w:tcPr>
          <w:p w14:paraId="7F428856" w14:textId="77777777" w:rsidR="00D36448" w:rsidRPr="008042C9" w:rsidRDefault="00D36448" w:rsidP="00CD44EA">
            <w:pPr>
              <w:tabs>
                <w:tab w:val="left" w:pos="3500"/>
              </w:tabs>
              <w:spacing w:before="60" w:after="60"/>
              <w:jc w:val="center"/>
              <w:rPr>
                <w:rFonts w:ascii="Arial" w:hAnsi="Arial" w:cs="Arial"/>
                <w:b/>
                <w:sz w:val="20"/>
                <w:szCs w:val="20"/>
              </w:rPr>
            </w:pPr>
            <w:proofErr w:type="spellStart"/>
            <w:r w:rsidRPr="008042C9">
              <w:rPr>
                <w:rFonts w:ascii="Arial" w:hAnsi="Arial" w:cs="Arial"/>
                <w:b/>
                <w:sz w:val="20"/>
                <w:szCs w:val="20"/>
              </w:rPr>
              <w:t>Valor</w:t>
            </w:r>
            <w:proofErr w:type="spellEnd"/>
            <w:r w:rsidRPr="008042C9">
              <w:rPr>
                <w:rFonts w:ascii="Arial" w:hAnsi="Arial" w:cs="Arial"/>
                <w:b/>
                <w:sz w:val="20"/>
                <w:szCs w:val="20"/>
              </w:rPr>
              <w:t xml:space="preserve"> d</w:t>
            </w:r>
            <w:r>
              <w:rPr>
                <w:rFonts w:ascii="Arial" w:hAnsi="Arial" w:cs="Arial"/>
                <w:b/>
                <w:sz w:val="20"/>
                <w:szCs w:val="20"/>
              </w:rPr>
              <w:t>el</w:t>
            </w:r>
            <w:r w:rsidRPr="008042C9">
              <w:rPr>
                <w:rFonts w:ascii="Arial" w:hAnsi="Arial" w:cs="Arial"/>
                <w:b/>
                <w:sz w:val="20"/>
                <w:szCs w:val="20"/>
              </w:rPr>
              <w:t xml:space="preserve"> Tick (€)</w:t>
            </w:r>
          </w:p>
        </w:tc>
      </w:tr>
      <w:tr w:rsidR="00D36448" w:rsidRPr="00EC74D7" w14:paraId="62D7049D"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4E129831" w14:textId="77777777" w:rsidR="00D36448" w:rsidRPr="008042C9" w:rsidRDefault="00D36448" w:rsidP="00CD44EA">
            <w:pPr>
              <w:tabs>
                <w:tab w:val="left" w:pos="3500"/>
              </w:tabs>
              <w:spacing w:before="60" w:after="60"/>
              <w:jc w:val="both"/>
              <w:rPr>
                <w:rFonts w:ascii="Arial" w:hAnsi="Arial" w:cs="Arial"/>
                <w:sz w:val="20"/>
                <w:szCs w:val="20"/>
              </w:rPr>
            </w:pPr>
            <w:proofErr w:type="spellStart"/>
            <w:r w:rsidRPr="008042C9">
              <w:rPr>
                <w:rFonts w:ascii="Arial" w:hAnsi="Arial" w:cs="Arial"/>
                <w:sz w:val="20"/>
                <w:szCs w:val="20"/>
              </w:rPr>
              <w:t>A</w:t>
            </w:r>
            <w:r>
              <w:rPr>
                <w:rFonts w:ascii="Arial" w:hAnsi="Arial" w:cs="Arial"/>
                <w:sz w:val="20"/>
                <w:szCs w:val="20"/>
              </w:rPr>
              <w:t>ñ</w:t>
            </w:r>
            <w:r w:rsidRPr="008042C9">
              <w:rPr>
                <w:rFonts w:ascii="Arial" w:hAnsi="Arial" w:cs="Arial"/>
                <w:sz w:val="20"/>
                <w:szCs w:val="20"/>
              </w:rPr>
              <w:t>o</w:t>
            </w:r>
            <w:proofErr w:type="spellEnd"/>
            <w:r w:rsidRPr="008042C9">
              <w:rPr>
                <w:rFonts w:ascii="Arial" w:hAnsi="Arial" w:cs="Arial"/>
                <w:sz w:val="20"/>
                <w:szCs w:val="20"/>
              </w:rPr>
              <w:t xml:space="preserve"> de </w:t>
            </w:r>
            <w:proofErr w:type="spellStart"/>
            <w:r w:rsidRPr="008042C9">
              <w:rPr>
                <w:rFonts w:ascii="Arial" w:hAnsi="Arial" w:cs="Arial"/>
                <w:sz w:val="20"/>
                <w:szCs w:val="20"/>
              </w:rPr>
              <w:t>calendar</w:t>
            </w:r>
            <w:r>
              <w:rPr>
                <w:rFonts w:ascii="Arial" w:hAnsi="Arial" w:cs="Arial"/>
                <w:sz w:val="20"/>
                <w:szCs w:val="20"/>
              </w:rPr>
              <w:t>io</w:t>
            </w:r>
            <w:proofErr w:type="spellEnd"/>
            <w:r w:rsidRPr="008042C9">
              <w:rPr>
                <w:rFonts w:ascii="Arial" w:hAnsi="Arial" w:cs="Arial"/>
                <w:sz w:val="20"/>
                <w:szCs w:val="20"/>
              </w:rPr>
              <w:t xml:space="preserve"> normal</w:t>
            </w:r>
          </w:p>
        </w:tc>
        <w:tc>
          <w:tcPr>
            <w:tcW w:w="1977" w:type="dxa"/>
            <w:tcBorders>
              <w:top w:val="single" w:sz="4" w:space="0" w:color="999999"/>
              <w:bottom w:val="single" w:sz="4" w:space="0" w:color="999999"/>
            </w:tcBorders>
            <w:shd w:val="clear" w:color="auto" w:fill="auto"/>
            <w:noWrap/>
            <w:vAlign w:val="center"/>
          </w:tcPr>
          <w:p w14:paraId="3A657F72"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87,60</w:t>
            </w:r>
          </w:p>
        </w:tc>
      </w:tr>
      <w:tr w:rsidR="00D36448" w:rsidRPr="00EC74D7" w14:paraId="09F55A0B" w14:textId="77777777" w:rsidTr="00CD44EA">
        <w:trPr>
          <w:trHeight w:val="284"/>
          <w:jc w:val="center"/>
        </w:trPr>
        <w:tc>
          <w:tcPr>
            <w:tcW w:w="4863" w:type="dxa"/>
            <w:tcBorders>
              <w:top w:val="single" w:sz="4" w:space="0" w:color="999999"/>
              <w:bottom w:val="single" w:sz="4" w:space="0" w:color="999999"/>
            </w:tcBorders>
            <w:shd w:val="clear" w:color="auto" w:fill="auto"/>
            <w:noWrap/>
            <w:vAlign w:val="center"/>
          </w:tcPr>
          <w:p w14:paraId="6DD8F0D2" w14:textId="77777777" w:rsidR="00D36448" w:rsidRPr="008042C9" w:rsidRDefault="00D36448" w:rsidP="00CD44EA">
            <w:pPr>
              <w:tabs>
                <w:tab w:val="left" w:pos="3500"/>
              </w:tabs>
              <w:spacing w:before="60" w:after="60"/>
              <w:jc w:val="both"/>
              <w:rPr>
                <w:rFonts w:ascii="Arial" w:hAnsi="Arial" w:cs="Arial"/>
                <w:sz w:val="20"/>
                <w:szCs w:val="20"/>
              </w:rPr>
            </w:pPr>
            <w:proofErr w:type="spellStart"/>
            <w:r w:rsidRPr="008042C9">
              <w:rPr>
                <w:rFonts w:ascii="Arial" w:hAnsi="Arial" w:cs="Arial"/>
                <w:sz w:val="20"/>
                <w:szCs w:val="20"/>
              </w:rPr>
              <w:t>A</w:t>
            </w:r>
            <w:r>
              <w:rPr>
                <w:rFonts w:ascii="Arial" w:hAnsi="Arial" w:cs="Arial"/>
                <w:sz w:val="20"/>
                <w:szCs w:val="20"/>
              </w:rPr>
              <w:t>ñ</w:t>
            </w:r>
            <w:r w:rsidRPr="008042C9">
              <w:rPr>
                <w:rFonts w:ascii="Arial" w:hAnsi="Arial" w:cs="Arial"/>
                <w:sz w:val="20"/>
                <w:szCs w:val="20"/>
              </w:rPr>
              <w:t>o</w:t>
            </w:r>
            <w:proofErr w:type="spellEnd"/>
            <w:r w:rsidRPr="008042C9">
              <w:rPr>
                <w:rFonts w:ascii="Arial" w:hAnsi="Arial" w:cs="Arial"/>
                <w:sz w:val="20"/>
                <w:szCs w:val="20"/>
              </w:rPr>
              <w:t xml:space="preserve"> de </w:t>
            </w:r>
            <w:proofErr w:type="spellStart"/>
            <w:r w:rsidRPr="008042C9">
              <w:rPr>
                <w:rFonts w:ascii="Arial" w:hAnsi="Arial" w:cs="Arial"/>
                <w:sz w:val="20"/>
                <w:szCs w:val="20"/>
              </w:rPr>
              <w:t>calendar</w:t>
            </w:r>
            <w:r>
              <w:rPr>
                <w:rFonts w:ascii="Arial" w:hAnsi="Arial" w:cs="Arial"/>
                <w:sz w:val="20"/>
                <w:szCs w:val="20"/>
              </w:rPr>
              <w:t>io</w:t>
            </w:r>
            <w:proofErr w:type="spellEnd"/>
            <w:r w:rsidRPr="008042C9">
              <w:rPr>
                <w:rFonts w:ascii="Arial" w:hAnsi="Arial" w:cs="Arial"/>
                <w:sz w:val="20"/>
                <w:szCs w:val="20"/>
              </w:rPr>
              <w:t xml:space="preserve"> </w:t>
            </w:r>
            <w:proofErr w:type="spellStart"/>
            <w:r w:rsidRPr="00710FF8">
              <w:rPr>
                <w:rFonts w:ascii="Arial" w:hAnsi="Arial" w:cs="Arial"/>
                <w:sz w:val="20"/>
                <w:szCs w:val="20"/>
              </w:rPr>
              <w:t>bisiesto</w:t>
            </w:r>
            <w:proofErr w:type="spellEnd"/>
          </w:p>
        </w:tc>
        <w:tc>
          <w:tcPr>
            <w:tcW w:w="1977" w:type="dxa"/>
            <w:tcBorders>
              <w:top w:val="single" w:sz="4" w:space="0" w:color="999999"/>
              <w:bottom w:val="single" w:sz="4" w:space="0" w:color="999999"/>
            </w:tcBorders>
            <w:shd w:val="clear" w:color="auto" w:fill="auto"/>
            <w:noWrap/>
            <w:vAlign w:val="center"/>
          </w:tcPr>
          <w:p w14:paraId="369B96CF" w14:textId="77777777" w:rsidR="00D36448" w:rsidRPr="008042C9" w:rsidRDefault="00D36448" w:rsidP="00CD44EA">
            <w:pPr>
              <w:tabs>
                <w:tab w:val="left" w:pos="3500"/>
              </w:tabs>
              <w:spacing w:before="60" w:after="60"/>
              <w:jc w:val="center"/>
              <w:rPr>
                <w:rFonts w:ascii="Arial" w:hAnsi="Arial" w:cs="Arial"/>
                <w:sz w:val="20"/>
                <w:szCs w:val="20"/>
              </w:rPr>
            </w:pPr>
            <w:r w:rsidRPr="008042C9">
              <w:rPr>
                <w:rFonts w:ascii="Arial" w:hAnsi="Arial" w:cs="Arial"/>
                <w:sz w:val="20"/>
                <w:szCs w:val="20"/>
              </w:rPr>
              <w:t>87,84</w:t>
            </w:r>
          </w:p>
        </w:tc>
      </w:tr>
    </w:tbl>
    <w:p w14:paraId="248C1F7B" w14:textId="77777777" w:rsidR="00D36448" w:rsidRDefault="00D36448" w:rsidP="00FE7305">
      <w:pPr>
        <w:rPr>
          <w:rFonts w:ascii="Arial" w:hAnsi="Arial" w:cs="Arial"/>
          <w:sz w:val="20"/>
          <w:szCs w:val="20"/>
          <w:lang w:val="es-ES"/>
        </w:rPr>
      </w:pPr>
    </w:p>
    <w:p w14:paraId="2EA0701A" w14:textId="77777777" w:rsidR="00D36448" w:rsidRPr="00D03B6F" w:rsidRDefault="00D36448" w:rsidP="00D36448">
      <w:pPr>
        <w:spacing w:before="60" w:after="60"/>
        <w:jc w:val="both"/>
        <w:rPr>
          <w:rFonts w:ascii="Arial" w:hAnsi="Arial" w:cs="Arial"/>
          <w:b/>
          <w:color w:val="92D050"/>
          <w:sz w:val="20"/>
          <w:szCs w:val="28"/>
          <w:lang w:val="es-ES_tradnl"/>
        </w:rPr>
      </w:pPr>
      <w:r w:rsidRPr="00D03B6F">
        <w:rPr>
          <w:rFonts w:ascii="Arial" w:hAnsi="Arial" w:cs="Arial"/>
          <w:b/>
          <w:color w:val="92D050"/>
          <w:sz w:val="20"/>
          <w:szCs w:val="28"/>
          <w:lang w:val="es-ES_tradnl"/>
        </w:rPr>
        <w:t>Cláusula 5</w:t>
      </w:r>
      <w:r>
        <w:rPr>
          <w:rFonts w:ascii="Arial" w:hAnsi="Arial" w:cs="Arial"/>
          <w:b/>
          <w:color w:val="92D050"/>
          <w:sz w:val="20"/>
          <w:szCs w:val="28"/>
          <w:lang w:val="es-ES_tradnl"/>
        </w:rPr>
        <w:t>ª</w:t>
      </w:r>
      <w:r w:rsidRPr="00D03B6F">
        <w:rPr>
          <w:rFonts w:ascii="Arial" w:hAnsi="Arial" w:cs="Arial"/>
          <w:b/>
          <w:color w:val="92D050"/>
          <w:sz w:val="20"/>
          <w:szCs w:val="28"/>
          <w:lang w:val="es-ES_tradnl"/>
        </w:rPr>
        <w:t xml:space="preserve"> – Contratos de Futuros MIBEL </w:t>
      </w:r>
      <w:r>
        <w:rPr>
          <w:rFonts w:ascii="Arial" w:hAnsi="Arial" w:cs="Arial"/>
          <w:b/>
          <w:color w:val="92D050"/>
          <w:sz w:val="20"/>
          <w:szCs w:val="28"/>
          <w:lang w:val="es-ES_tradnl"/>
        </w:rPr>
        <w:t>PTEL</w:t>
      </w:r>
      <w:r w:rsidRPr="00D03B6F">
        <w:rPr>
          <w:rFonts w:ascii="Arial" w:hAnsi="Arial" w:cs="Arial"/>
          <w:b/>
          <w:color w:val="92D050"/>
          <w:sz w:val="20"/>
          <w:szCs w:val="28"/>
          <w:lang w:val="es-ES_tradnl"/>
        </w:rPr>
        <w:t xml:space="preserve"> Base Día - Periodo de Negociación y Periodo de Entrega</w:t>
      </w:r>
    </w:p>
    <w:p w14:paraId="5BF954AF" w14:textId="77777777" w:rsidR="00D36448" w:rsidRPr="00D03B6F" w:rsidRDefault="00D36448" w:rsidP="00D36448">
      <w:pPr>
        <w:pStyle w:val="PargrafodaLista"/>
        <w:spacing w:before="60" w:after="60"/>
        <w:ind w:left="426" w:hanging="426"/>
        <w:contextualSpacing w:val="0"/>
        <w:jc w:val="both"/>
        <w:rPr>
          <w:rFonts w:ascii="Arial" w:hAnsi="Arial" w:cs="Arial"/>
          <w:sz w:val="20"/>
          <w:szCs w:val="20"/>
          <w:lang w:val="es-ES_tradnl"/>
        </w:rPr>
      </w:pPr>
      <w:r w:rsidRPr="00D03B6F">
        <w:rPr>
          <w:rFonts w:ascii="Arial" w:hAnsi="Arial" w:cs="Arial"/>
          <w:sz w:val="20"/>
          <w:szCs w:val="20"/>
          <w:lang w:val="es-ES_tradnl"/>
        </w:rPr>
        <w:t>Los Contratos Día tienen las siguientes características:</w:t>
      </w:r>
    </w:p>
    <w:p w14:paraId="0732A31B" w14:textId="77777777" w:rsidR="00D36448" w:rsidRPr="00D03B6F" w:rsidRDefault="00D36448" w:rsidP="00D36448">
      <w:pPr>
        <w:pStyle w:val="PargrafodaLista"/>
        <w:numPr>
          <w:ilvl w:val="0"/>
          <w:numId w:val="28"/>
        </w:numPr>
        <w:spacing w:before="60" w:after="60"/>
        <w:jc w:val="both"/>
        <w:rPr>
          <w:rFonts w:ascii="Arial" w:hAnsi="Arial" w:cs="Arial"/>
          <w:sz w:val="20"/>
          <w:szCs w:val="20"/>
          <w:lang w:val="es-ES_tradnl"/>
        </w:rPr>
      </w:pPr>
      <w:r w:rsidRPr="00D03B6F">
        <w:rPr>
          <w:rFonts w:ascii="Arial" w:hAnsi="Arial" w:cs="Arial"/>
          <w:sz w:val="20"/>
          <w:szCs w:val="20"/>
          <w:lang w:val="es-ES_tradnl"/>
        </w:rPr>
        <w:t>Primer día de negociación – ocurre en el último Día de Negociación de la semana anterior;</w:t>
      </w:r>
    </w:p>
    <w:p w14:paraId="3CA7FB01" w14:textId="77777777" w:rsidR="00D36448" w:rsidRPr="00D03B6F" w:rsidRDefault="00D36448" w:rsidP="00D36448">
      <w:pPr>
        <w:pStyle w:val="PargrafodaLista"/>
        <w:numPr>
          <w:ilvl w:val="0"/>
          <w:numId w:val="28"/>
        </w:numPr>
        <w:spacing w:before="60" w:after="60"/>
        <w:jc w:val="both"/>
        <w:rPr>
          <w:rFonts w:ascii="Arial" w:hAnsi="Arial" w:cs="Arial"/>
          <w:sz w:val="20"/>
          <w:szCs w:val="20"/>
          <w:lang w:val="es-ES_tradnl"/>
        </w:rPr>
      </w:pPr>
      <w:r w:rsidRPr="00D03B6F">
        <w:rPr>
          <w:rFonts w:ascii="Arial" w:hAnsi="Arial" w:cs="Arial"/>
          <w:sz w:val="20"/>
          <w:szCs w:val="20"/>
          <w:lang w:val="es-ES_tradnl"/>
        </w:rPr>
        <w:t>Último Día de Negociación (UDN) – Día de Negociación anterior al día de entrega;</w:t>
      </w:r>
    </w:p>
    <w:p w14:paraId="1355380C" w14:textId="77777777" w:rsidR="00D36448" w:rsidRPr="00D03B6F" w:rsidRDefault="00D36448" w:rsidP="00D36448">
      <w:pPr>
        <w:pStyle w:val="PargrafodaLista"/>
        <w:numPr>
          <w:ilvl w:val="0"/>
          <w:numId w:val="28"/>
        </w:numPr>
        <w:spacing w:before="60" w:after="60"/>
        <w:jc w:val="both"/>
        <w:rPr>
          <w:rFonts w:ascii="Arial" w:hAnsi="Arial" w:cs="Arial"/>
          <w:sz w:val="20"/>
          <w:szCs w:val="20"/>
          <w:lang w:val="es-ES_tradnl"/>
        </w:rPr>
      </w:pPr>
      <w:r w:rsidRPr="00D03B6F">
        <w:rPr>
          <w:rFonts w:ascii="Arial" w:hAnsi="Arial" w:cs="Arial"/>
          <w:sz w:val="20"/>
          <w:szCs w:val="20"/>
          <w:lang w:val="es-ES_tradnl"/>
        </w:rPr>
        <w:t>Primer día de entrega – corresponde al día de entrega especificado en el Contrato;</w:t>
      </w:r>
    </w:p>
    <w:p w14:paraId="4753E04D" w14:textId="77777777" w:rsidR="00D36448" w:rsidRPr="00D03B6F" w:rsidRDefault="00D36448" w:rsidP="00D36448">
      <w:pPr>
        <w:pStyle w:val="PargrafodaLista"/>
        <w:numPr>
          <w:ilvl w:val="0"/>
          <w:numId w:val="28"/>
        </w:numPr>
        <w:spacing w:before="60" w:after="60"/>
        <w:jc w:val="both"/>
        <w:rPr>
          <w:rFonts w:ascii="Arial" w:hAnsi="Arial" w:cs="Arial"/>
          <w:sz w:val="20"/>
          <w:szCs w:val="20"/>
          <w:lang w:val="es-ES_tradnl"/>
        </w:rPr>
      </w:pPr>
      <w:r w:rsidRPr="00D03B6F">
        <w:rPr>
          <w:rFonts w:ascii="Arial" w:hAnsi="Arial" w:cs="Arial"/>
          <w:sz w:val="20"/>
          <w:szCs w:val="20"/>
          <w:lang w:val="es-ES_tradnl"/>
        </w:rPr>
        <w:t>Último día de entrega – igual al día de entrega;</w:t>
      </w:r>
    </w:p>
    <w:p w14:paraId="77D0CFCC" w14:textId="77777777" w:rsidR="00D36448" w:rsidRPr="00D03B6F" w:rsidRDefault="00D36448" w:rsidP="00D36448">
      <w:pPr>
        <w:pStyle w:val="PargrafodaLista"/>
        <w:numPr>
          <w:ilvl w:val="0"/>
          <w:numId w:val="28"/>
        </w:numPr>
        <w:spacing w:before="60" w:after="60"/>
        <w:jc w:val="both"/>
        <w:rPr>
          <w:rFonts w:ascii="Arial" w:hAnsi="Arial" w:cs="Arial"/>
          <w:sz w:val="20"/>
          <w:szCs w:val="20"/>
          <w:lang w:val="es-ES_tradnl"/>
        </w:rPr>
      </w:pPr>
      <w:r w:rsidRPr="00D03B6F">
        <w:rPr>
          <w:rFonts w:ascii="Arial" w:hAnsi="Arial" w:cs="Arial"/>
          <w:sz w:val="20"/>
          <w:szCs w:val="20"/>
          <w:lang w:val="es-ES_tradnl"/>
        </w:rPr>
        <w:t>Período de Negociación – iniciase en el primer Día de Negociación y termina en el UDN;</w:t>
      </w:r>
    </w:p>
    <w:p w14:paraId="20C0BF8B" w14:textId="77777777" w:rsidR="00D36448" w:rsidRPr="00D03B6F" w:rsidRDefault="00D36448" w:rsidP="00D36448">
      <w:pPr>
        <w:pStyle w:val="PargrafodaLista"/>
        <w:numPr>
          <w:ilvl w:val="0"/>
          <w:numId w:val="28"/>
        </w:numPr>
        <w:spacing w:before="60" w:after="60"/>
        <w:jc w:val="both"/>
        <w:rPr>
          <w:rFonts w:ascii="Arial" w:hAnsi="Arial" w:cs="Arial"/>
          <w:sz w:val="20"/>
          <w:szCs w:val="20"/>
          <w:lang w:val="es-ES_tradnl"/>
        </w:rPr>
      </w:pPr>
      <w:r w:rsidRPr="00D03B6F">
        <w:rPr>
          <w:rFonts w:ascii="Arial" w:hAnsi="Arial" w:cs="Arial"/>
          <w:sz w:val="20"/>
          <w:szCs w:val="20"/>
          <w:lang w:val="es-ES_tradnl"/>
        </w:rPr>
        <w:t xml:space="preserve">Período de entrega – con inicio a las 00:00 y termo a las 24:00 del día de entrega. </w:t>
      </w:r>
    </w:p>
    <w:p w14:paraId="1D8109D8" w14:textId="77777777" w:rsidR="00D36448" w:rsidRPr="00D03B6F" w:rsidRDefault="00D36448" w:rsidP="00D36448">
      <w:pPr>
        <w:pStyle w:val="PargrafodaLista"/>
        <w:spacing w:before="60" w:after="60"/>
        <w:ind w:left="426" w:hanging="426"/>
        <w:contextualSpacing w:val="0"/>
        <w:jc w:val="both"/>
        <w:rPr>
          <w:rFonts w:ascii="Arial" w:hAnsi="Arial" w:cs="Arial"/>
          <w:sz w:val="20"/>
          <w:szCs w:val="20"/>
          <w:lang w:val="es-ES_tradnl"/>
        </w:rPr>
      </w:pPr>
    </w:p>
    <w:p w14:paraId="7A636ED8" w14:textId="77777777" w:rsidR="00D36448" w:rsidRDefault="00D36448" w:rsidP="00D36448">
      <w:pPr>
        <w:spacing w:before="60" w:after="60"/>
        <w:jc w:val="both"/>
        <w:rPr>
          <w:rFonts w:ascii="Arial" w:hAnsi="Arial" w:cs="Arial"/>
          <w:sz w:val="20"/>
          <w:szCs w:val="20"/>
          <w:lang w:val="es-ES_tradnl"/>
        </w:rPr>
      </w:pPr>
    </w:p>
    <w:p w14:paraId="53A04A55" w14:textId="77777777" w:rsidR="00D36448" w:rsidRPr="00D03B6F" w:rsidRDefault="00D36448" w:rsidP="00D36448">
      <w:pPr>
        <w:spacing w:before="60" w:after="60"/>
        <w:jc w:val="both"/>
        <w:rPr>
          <w:rFonts w:ascii="Arial" w:hAnsi="Arial" w:cs="Arial"/>
          <w:b/>
          <w:color w:val="92D050"/>
          <w:sz w:val="20"/>
          <w:szCs w:val="28"/>
          <w:lang w:val="es-ES_tradnl"/>
        </w:rPr>
      </w:pPr>
      <w:r w:rsidRPr="00D03B6F">
        <w:rPr>
          <w:rFonts w:ascii="Arial" w:hAnsi="Arial" w:cs="Arial"/>
          <w:b/>
          <w:color w:val="92D050"/>
          <w:sz w:val="20"/>
          <w:szCs w:val="28"/>
          <w:lang w:val="es-ES_tradnl"/>
        </w:rPr>
        <w:t>Cláusula 6</w:t>
      </w:r>
      <w:r>
        <w:rPr>
          <w:rFonts w:ascii="Arial" w:hAnsi="Arial" w:cs="Arial"/>
          <w:b/>
          <w:color w:val="92D050"/>
          <w:sz w:val="20"/>
          <w:szCs w:val="28"/>
          <w:lang w:val="es-ES_tradnl"/>
        </w:rPr>
        <w:t>ª</w:t>
      </w:r>
      <w:r w:rsidRPr="00D03B6F">
        <w:rPr>
          <w:rFonts w:ascii="Arial" w:hAnsi="Arial" w:cs="Arial"/>
          <w:b/>
          <w:color w:val="92D050"/>
          <w:sz w:val="20"/>
          <w:szCs w:val="28"/>
          <w:lang w:val="es-ES_tradnl"/>
        </w:rPr>
        <w:t xml:space="preserve"> – Contratos de Futuros MIBEL </w:t>
      </w:r>
      <w:r>
        <w:rPr>
          <w:rFonts w:ascii="Arial" w:hAnsi="Arial" w:cs="Arial"/>
          <w:b/>
          <w:color w:val="92D050"/>
          <w:sz w:val="20"/>
          <w:szCs w:val="28"/>
          <w:lang w:val="es-ES_tradnl"/>
        </w:rPr>
        <w:t>PTEL</w:t>
      </w:r>
      <w:r w:rsidRPr="00D03B6F">
        <w:rPr>
          <w:rFonts w:ascii="Arial" w:hAnsi="Arial" w:cs="Arial"/>
          <w:b/>
          <w:color w:val="92D050"/>
          <w:sz w:val="20"/>
          <w:szCs w:val="28"/>
          <w:lang w:val="es-ES_tradnl"/>
        </w:rPr>
        <w:t xml:space="preserve"> </w:t>
      </w:r>
      <w:r>
        <w:rPr>
          <w:rFonts w:ascii="Arial" w:hAnsi="Arial" w:cs="Arial"/>
          <w:b/>
          <w:color w:val="92D050"/>
          <w:sz w:val="20"/>
          <w:szCs w:val="28"/>
          <w:lang w:val="es-ES_tradnl"/>
        </w:rPr>
        <w:t xml:space="preserve">Base Fin de </w:t>
      </w:r>
      <w:r w:rsidRPr="00D03B6F">
        <w:rPr>
          <w:rFonts w:ascii="Arial" w:hAnsi="Arial" w:cs="Arial"/>
          <w:b/>
          <w:color w:val="92D050"/>
          <w:sz w:val="20"/>
          <w:szCs w:val="28"/>
          <w:lang w:val="es-ES_tradnl"/>
        </w:rPr>
        <w:t>Semana - Periodo de Negociación y Periodo de Entrega</w:t>
      </w:r>
    </w:p>
    <w:p w14:paraId="47506E14" w14:textId="77777777" w:rsidR="00D36448" w:rsidRPr="00D03B6F" w:rsidRDefault="00D36448" w:rsidP="00D36448">
      <w:pPr>
        <w:pStyle w:val="PargrafodaLista"/>
        <w:spacing w:before="60" w:after="60"/>
        <w:ind w:left="426" w:hanging="426"/>
        <w:contextualSpacing w:val="0"/>
        <w:jc w:val="both"/>
        <w:rPr>
          <w:rFonts w:ascii="Arial" w:hAnsi="Arial" w:cs="Arial"/>
          <w:sz w:val="20"/>
          <w:szCs w:val="20"/>
          <w:lang w:val="es-ES_tradnl"/>
        </w:rPr>
      </w:pPr>
      <w:r w:rsidRPr="00D03B6F">
        <w:rPr>
          <w:rFonts w:ascii="Arial" w:hAnsi="Arial" w:cs="Arial"/>
          <w:sz w:val="20"/>
          <w:szCs w:val="20"/>
          <w:lang w:val="es-ES_tradnl"/>
        </w:rPr>
        <w:t>Los Contratos Fin de Semana tienen las siguientes características:</w:t>
      </w:r>
    </w:p>
    <w:p w14:paraId="739BCEE1" w14:textId="77777777" w:rsidR="00D36448" w:rsidRPr="00D03B6F" w:rsidRDefault="00D36448" w:rsidP="00D36448">
      <w:pPr>
        <w:pStyle w:val="PargrafodaLista"/>
        <w:numPr>
          <w:ilvl w:val="0"/>
          <w:numId w:val="29"/>
        </w:numPr>
        <w:spacing w:before="60" w:after="60"/>
        <w:jc w:val="both"/>
        <w:rPr>
          <w:rFonts w:ascii="Arial" w:hAnsi="Arial" w:cs="Arial"/>
          <w:sz w:val="20"/>
          <w:szCs w:val="20"/>
          <w:lang w:val="es-ES_tradnl"/>
        </w:rPr>
      </w:pPr>
      <w:r w:rsidRPr="00D03B6F">
        <w:rPr>
          <w:rFonts w:ascii="Arial" w:hAnsi="Arial" w:cs="Arial"/>
          <w:sz w:val="20"/>
          <w:szCs w:val="20"/>
          <w:lang w:val="es-ES_tradnl"/>
        </w:rPr>
        <w:t>Primer día de negociación – ocurre en el último Día de Negociación de la semana anterior;</w:t>
      </w:r>
    </w:p>
    <w:p w14:paraId="3B5C70DE" w14:textId="77777777" w:rsidR="00D36448" w:rsidRPr="00D03B6F" w:rsidRDefault="00D36448" w:rsidP="00D36448">
      <w:pPr>
        <w:pStyle w:val="PargrafodaLista"/>
        <w:numPr>
          <w:ilvl w:val="0"/>
          <w:numId w:val="29"/>
        </w:numPr>
        <w:spacing w:before="60" w:after="60"/>
        <w:jc w:val="both"/>
        <w:rPr>
          <w:rFonts w:ascii="Arial" w:hAnsi="Arial" w:cs="Arial"/>
          <w:sz w:val="20"/>
          <w:szCs w:val="20"/>
          <w:lang w:val="es-ES_tradnl"/>
        </w:rPr>
      </w:pPr>
      <w:r w:rsidRPr="00D03B6F">
        <w:rPr>
          <w:rFonts w:ascii="Arial" w:hAnsi="Arial" w:cs="Arial"/>
          <w:sz w:val="20"/>
          <w:szCs w:val="20"/>
          <w:lang w:val="es-ES_tradnl"/>
        </w:rPr>
        <w:t>Último Día de Negociación (UDN) – Día de Negociación anterior al primer día de entrega;</w:t>
      </w:r>
    </w:p>
    <w:p w14:paraId="6462DA79" w14:textId="77777777" w:rsidR="00D36448" w:rsidRPr="00D03B6F" w:rsidRDefault="00D36448" w:rsidP="00D36448">
      <w:pPr>
        <w:pStyle w:val="PargrafodaLista"/>
        <w:numPr>
          <w:ilvl w:val="0"/>
          <w:numId w:val="29"/>
        </w:numPr>
        <w:spacing w:before="60" w:after="60"/>
        <w:jc w:val="both"/>
        <w:rPr>
          <w:rFonts w:ascii="Arial" w:hAnsi="Arial" w:cs="Arial"/>
          <w:sz w:val="20"/>
          <w:szCs w:val="20"/>
          <w:lang w:val="es-ES_tradnl"/>
        </w:rPr>
      </w:pPr>
      <w:r w:rsidRPr="00D03B6F">
        <w:rPr>
          <w:rFonts w:ascii="Arial" w:hAnsi="Arial" w:cs="Arial"/>
          <w:sz w:val="20"/>
          <w:szCs w:val="20"/>
          <w:lang w:val="es-ES_tradnl"/>
        </w:rPr>
        <w:t>Primer día de entrega – ocurre el sábado del fin de semana especificado en el Contrato;</w:t>
      </w:r>
    </w:p>
    <w:p w14:paraId="3F644E64" w14:textId="77777777" w:rsidR="00D36448" w:rsidRPr="00D03B6F" w:rsidRDefault="00D36448" w:rsidP="00D36448">
      <w:pPr>
        <w:pStyle w:val="PargrafodaLista"/>
        <w:numPr>
          <w:ilvl w:val="0"/>
          <w:numId w:val="29"/>
        </w:numPr>
        <w:spacing w:before="60" w:after="60"/>
        <w:jc w:val="both"/>
        <w:rPr>
          <w:rFonts w:ascii="Arial" w:hAnsi="Arial" w:cs="Arial"/>
          <w:sz w:val="20"/>
          <w:szCs w:val="20"/>
          <w:lang w:val="es-ES_tradnl"/>
        </w:rPr>
      </w:pPr>
      <w:r w:rsidRPr="00D03B6F">
        <w:rPr>
          <w:rFonts w:ascii="Arial" w:hAnsi="Arial" w:cs="Arial"/>
          <w:sz w:val="20"/>
          <w:szCs w:val="20"/>
          <w:lang w:val="es-ES_tradnl"/>
        </w:rPr>
        <w:t>Último día de entrega – ocurre el domingo del fin de semana especificado en el Contrato;</w:t>
      </w:r>
    </w:p>
    <w:p w14:paraId="06202487" w14:textId="77777777" w:rsidR="00D36448" w:rsidRPr="00D03B6F" w:rsidRDefault="00D36448" w:rsidP="00D36448">
      <w:pPr>
        <w:pStyle w:val="PargrafodaLista"/>
        <w:numPr>
          <w:ilvl w:val="0"/>
          <w:numId w:val="29"/>
        </w:numPr>
        <w:spacing w:before="60" w:after="60"/>
        <w:jc w:val="both"/>
        <w:rPr>
          <w:rFonts w:ascii="Arial" w:hAnsi="Arial" w:cs="Arial"/>
          <w:sz w:val="20"/>
          <w:szCs w:val="20"/>
          <w:lang w:val="es-ES_tradnl"/>
        </w:rPr>
      </w:pPr>
      <w:r w:rsidRPr="00D03B6F">
        <w:rPr>
          <w:rFonts w:ascii="Arial" w:hAnsi="Arial" w:cs="Arial"/>
          <w:sz w:val="20"/>
          <w:szCs w:val="20"/>
          <w:lang w:val="es-ES_tradnl"/>
        </w:rPr>
        <w:t>Período de Negociación – iniciase en el primer Día de Negociación y termina en el UDN.</w:t>
      </w:r>
    </w:p>
    <w:p w14:paraId="1A260C7D" w14:textId="77777777" w:rsidR="00D36448" w:rsidRPr="00D03B6F" w:rsidRDefault="00D36448" w:rsidP="00D36448">
      <w:pPr>
        <w:pStyle w:val="PargrafodaLista"/>
        <w:numPr>
          <w:ilvl w:val="0"/>
          <w:numId w:val="29"/>
        </w:numPr>
        <w:spacing w:before="60" w:after="60"/>
        <w:jc w:val="both"/>
        <w:rPr>
          <w:rFonts w:ascii="Arial" w:hAnsi="Arial" w:cs="Arial"/>
          <w:sz w:val="20"/>
          <w:szCs w:val="20"/>
          <w:lang w:val="es-ES_tradnl"/>
        </w:rPr>
      </w:pPr>
      <w:r w:rsidRPr="00D03B6F">
        <w:rPr>
          <w:rFonts w:ascii="Arial" w:hAnsi="Arial" w:cs="Arial"/>
          <w:sz w:val="20"/>
          <w:szCs w:val="20"/>
          <w:lang w:val="es-ES_tradnl"/>
        </w:rPr>
        <w:t xml:space="preserve">Período de entrega – con inicio a las 00:00 del primer día de entrega y termo a las 24:00 del último día de entrega. </w:t>
      </w:r>
    </w:p>
    <w:p w14:paraId="40B9C8CA" w14:textId="77777777" w:rsidR="00D36448" w:rsidRPr="00942950" w:rsidRDefault="00D36448" w:rsidP="00D36448">
      <w:pPr>
        <w:pStyle w:val="PargrafodaLista"/>
        <w:spacing w:before="60" w:after="60"/>
        <w:ind w:left="426" w:hanging="426"/>
        <w:contextualSpacing w:val="0"/>
        <w:jc w:val="both"/>
        <w:rPr>
          <w:rFonts w:ascii="Arial" w:hAnsi="Arial" w:cs="Arial"/>
          <w:sz w:val="20"/>
          <w:szCs w:val="20"/>
          <w:lang w:val="es-ES_tradnl"/>
        </w:rPr>
      </w:pPr>
    </w:p>
    <w:p w14:paraId="3258BBC2" w14:textId="77777777" w:rsidR="00D36448" w:rsidRDefault="00D36448" w:rsidP="00D36448">
      <w:pPr>
        <w:spacing w:before="60" w:after="60"/>
        <w:jc w:val="both"/>
        <w:rPr>
          <w:rFonts w:ascii="Arial" w:hAnsi="Arial" w:cs="Arial"/>
          <w:sz w:val="20"/>
          <w:szCs w:val="20"/>
          <w:lang w:val="es-ES_tradnl"/>
        </w:rPr>
      </w:pPr>
    </w:p>
    <w:p w14:paraId="1127DB2B" w14:textId="77777777" w:rsidR="002728C4" w:rsidRPr="002728C4" w:rsidRDefault="002728C4" w:rsidP="002728C4">
      <w:pPr>
        <w:spacing w:before="60" w:after="60"/>
        <w:jc w:val="both"/>
        <w:rPr>
          <w:rFonts w:ascii="Arial" w:hAnsi="Arial" w:cs="Arial"/>
          <w:b/>
          <w:color w:val="92D050"/>
          <w:sz w:val="20"/>
          <w:szCs w:val="28"/>
          <w:lang w:val="es-ES_tradnl"/>
        </w:rPr>
      </w:pPr>
      <w:r w:rsidRPr="002728C4">
        <w:rPr>
          <w:rFonts w:ascii="Arial" w:hAnsi="Arial" w:cs="Arial"/>
          <w:b/>
          <w:color w:val="92D050"/>
          <w:sz w:val="20"/>
          <w:szCs w:val="28"/>
          <w:lang w:val="es-ES_tradnl"/>
        </w:rPr>
        <w:t xml:space="preserve">Cláusula </w:t>
      </w:r>
      <w:r w:rsidR="00AE3F67">
        <w:rPr>
          <w:rFonts w:ascii="Arial" w:hAnsi="Arial" w:cs="Arial"/>
          <w:b/>
          <w:color w:val="92D050"/>
          <w:sz w:val="20"/>
          <w:szCs w:val="28"/>
          <w:lang w:val="es-ES_tradnl"/>
        </w:rPr>
        <w:t>7</w:t>
      </w:r>
      <w:r w:rsidRPr="002728C4">
        <w:rPr>
          <w:rFonts w:ascii="Arial" w:hAnsi="Arial" w:cs="Arial"/>
          <w:b/>
          <w:color w:val="92D050"/>
          <w:sz w:val="20"/>
          <w:szCs w:val="28"/>
          <w:lang w:val="es-ES_tradnl"/>
        </w:rPr>
        <w:t>ª – Contratos de Futuros MIBEL PTEL Base Financieros Semana - Período de Negociación y Período de Entrega</w:t>
      </w:r>
    </w:p>
    <w:p w14:paraId="410FC45B" w14:textId="4F0035D3" w:rsidR="002728C4" w:rsidRPr="002728C4" w:rsidRDefault="002728C4" w:rsidP="002728C4">
      <w:pPr>
        <w:pStyle w:val="PargrafodaLista"/>
        <w:spacing w:before="60" w:after="60"/>
        <w:ind w:left="426" w:hanging="426"/>
        <w:contextualSpacing w:val="0"/>
        <w:jc w:val="both"/>
        <w:rPr>
          <w:rFonts w:ascii="Arial" w:hAnsi="Arial" w:cs="Arial"/>
          <w:sz w:val="20"/>
          <w:szCs w:val="20"/>
          <w:lang w:val="es-ES_tradnl"/>
        </w:rPr>
      </w:pPr>
      <w:r w:rsidRPr="002728C4">
        <w:rPr>
          <w:rFonts w:ascii="Arial" w:hAnsi="Arial" w:cs="Arial"/>
          <w:sz w:val="20"/>
          <w:szCs w:val="20"/>
          <w:lang w:val="es-ES_tradnl"/>
        </w:rPr>
        <w:t>1.</w:t>
      </w:r>
      <w:r w:rsidRPr="002728C4">
        <w:rPr>
          <w:rFonts w:ascii="Arial" w:hAnsi="Arial" w:cs="Arial"/>
          <w:sz w:val="20"/>
          <w:szCs w:val="20"/>
          <w:lang w:val="es-ES_tradnl"/>
        </w:rPr>
        <w:tab/>
        <w:t xml:space="preserve">En todo momento están abiertos a negociación </w:t>
      </w:r>
      <w:r w:rsidR="006A2C8F">
        <w:rPr>
          <w:rFonts w:ascii="Arial" w:hAnsi="Arial" w:cs="Arial"/>
          <w:sz w:val="20"/>
          <w:szCs w:val="20"/>
          <w:lang w:val="es-ES_tradnl"/>
        </w:rPr>
        <w:t>4</w:t>
      </w:r>
      <w:r w:rsidR="006A2C8F" w:rsidRPr="002728C4">
        <w:rPr>
          <w:rFonts w:ascii="Arial" w:hAnsi="Arial" w:cs="Arial"/>
          <w:sz w:val="20"/>
          <w:szCs w:val="20"/>
          <w:lang w:val="es-ES_tradnl"/>
        </w:rPr>
        <w:t xml:space="preserve"> </w:t>
      </w:r>
      <w:r w:rsidRPr="002728C4">
        <w:rPr>
          <w:rFonts w:ascii="Arial" w:hAnsi="Arial" w:cs="Arial"/>
          <w:sz w:val="20"/>
          <w:szCs w:val="20"/>
          <w:lang w:val="es-ES_tradnl"/>
        </w:rPr>
        <w:t xml:space="preserve">Contratos, cuyos Períodos de Entrega corresponden a las </w:t>
      </w:r>
      <w:r w:rsidR="006A2C8F">
        <w:rPr>
          <w:rFonts w:ascii="Arial" w:hAnsi="Arial" w:cs="Arial"/>
          <w:sz w:val="20"/>
          <w:szCs w:val="20"/>
          <w:lang w:val="es-ES_tradnl"/>
        </w:rPr>
        <w:t>4</w:t>
      </w:r>
      <w:r w:rsidR="006A2C8F" w:rsidRPr="002728C4">
        <w:rPr>
          <w:rFonts w:ascii="Arial" w:hAnsi="Arial" w:cs="Arial"/>
          <w:sz w:val="20"/>
          <w:szCs w:val="20"/>
          <w:lang w:val="es-ES_tradnl"/>
        </w:rPr>
        <w:t xml:space="preserve"> </w:t>
      </w:r>
      <w:r w:rsidRPr="002728C4">
        <w:rPr>
          <w:rFonts w:ascii="Arial" w:hAnsi="Arial" w:cs="Arial"/>
          <w:sz w:val="20"/>
          <w:szCs w:val="20"/>
          <w:lang w:val="es-ES_tradnl"/>
        </w:rPr>
        <w:t xml:space="preserve">semanas más </w:t>
      </w:r>
      <w:r w:rsidR="00D36448" w:rsidRPr="002728C4">
        <w:rPr>
          <w:rFonts w:ascii="Arial" w:hAnsi="Arial" w:cs="Arial"/>
          <w:sz w:val="20"/>
          <w:szCs w:val="20"/>
          <w:lang w:val="es-ES_tradnl"/>
        </w:rPr>
        <w:t>próximas</w:t>
      </w:r>
      <w:r w:rsidRPr="002728C4">
        <w:rPr>
          <w:rFonts w:ascii="Arial" w:hAnsi="Arial" w:cs="Arial"/>
          <w:sz w:val="20"/>
          <w:szCs w:val="20"/>
          <w:lang w:val="es-ES_tradnl"/>
        </w:rPr>
        <w:t>, siendo que el primer día de entrega de la semana negociable más próxima tiene lugar el lunes siguiente.</w:t>
      </w:r>
    </w:p>
    <w:p w14:paraId="14ECB8B1" w14:textId="561DC747" w:rsidR="002728C4" w:rsidRPr="002728C4" w:rsidRDefault="002728C4" w:rsidP="002728C4">
      <w:pPr>
        <w:pStyle w:val="PargrafodaLista"/>
        <w:spacing w:before="60" w:after="60"/>
        <w:ind w:left="426" w:hanging="426"/>
        <w:contextualSpacing w:val="0"/>
        <w:jc w:val="both"/>
        <w:rPr>
          <w:rFonts w:ascii="Arial" w:hAnsi="Arial" w:cs="Arial"/>
          <w:sz w:val="20"/>
          <w:szCs w:val="20"/>
          <w:lang w:val="es-ES_tradnl"/>
        </w:rPr>
      </w:pPr>
      <w:r w:rsidRPr="002728C4">
        <w:rPr>
          <w:rFonts w:ascii="Arial" w:hAnsi="Arial" w:cs="Arial"/>
          <w:sz w:val="20"/>
          <w:szCs w:val="20"/>
          <w:lang w:val="es-ES_tradnl"/>
        </w:rPr>
        <w:t>2.</w:t>
      </w:r>
      <w:r w:rsidRPr="002728C4">
        <w:rPr>
          <w:rFonts w:ascii="Arial" w:hAnsi="Arial" w:cs="Arial"/>
          <w:sz w:val="20"/>
          <w:szCs w:val="20"/>
          <w:lang w:val="es-ES_tradnl"/>
        </w:rPr>
        <w:tab/>
        <w:t>Siempre que un Contrato termina su período de negociación, el Día de Negociación siguiente se abre el Contrato con entrega más distante (</w:t>
      </w:r>
      <w:r w:rsidR="006A2C8F">
        <w:rPr>
          <w:rFonts w:ascii="Arial" w:hAnsi="Arial" w:cs="Arial"/>
          <w:sz w:val="20"/>
          <w:szCs w:val="20"/>
          <w:lang w:val="es-ES_tradnl"/>
        </w:rPr>
        <w:t>cuarta</w:t>
      </w:r>
      <w:r w:rsidR="006A2C8F" w:rsidRPr="002728C4">
        <w:rPr>
          <w:rFonts w:ascii="Arial" w:hAnsi="Arial" w:cs="Arial"/>
          <w:sz w:val="20"/>
          <w:szCs w:val="20"/>
          <w:lang w:val="es-ES_tradnl"/>
        </w:rPr>
        <w:t xml:space="preserve"> </w:t>
      </w:r>
      <w:r w:rsidRPr="002728C4">
        <w:rPr>
          <w:rFonts w:ascii="Arial" w:hAnsi="Arial" w:cs="Arial"/>
          <w:sz w:val="20"/>
          <w:szCs w:val="20"/>
          <w:lang w:val="es-ES_tradnl"/>
        </w:rPr>
        <w:t>semana más próxima en negociación). Así, el Contrato tiene las siguientes características:</w:t>
      </w:r>
    </w:p>
    <w:p w14:paraId="58762BC7" w14:textId="4F72D0A6" w:rsidR="002728C4" w:rsidRPr="002728C4" w:rsidRDefault="002728C4" w:rsidP="002728C4">
      <w:pPr>
        <w:pStyle w:val="PargrafodaLista"/>
        <w:numPr>
          <w:ilvl w:val="0"/>
          <w:numId w:val="13"/>
        </w:numPr>
        <w:spacing w:before="60" w:after="60"/>
        <w:jc w:val="both"/>
        <w:rPr>
          <w:rFonts w:ascii="Arial" w:hAnsi="Arial" w:cs="Arial"/>
          <w:sz w:val="20"/>
          <w:szCs w:val="20"/>
          <w:lang w:val="es-ES_tradnl"/>
        </w:rPr>
      </w:pPr>
      <w:r w:rsidRPr="002728C4">
        <w:rPr>
          <w:rFonts w:ascii="Arial" w:hAnsi="Arial" w:cs="Arial"/>
          <w:sz w:val="20"/>
          <w:szCs w:val="20"/>
          <w:lang w:val="es-ES_tradnl"/>
        </w:rPr>
        <w:t>Primer día de negociación: tiene lugar en la primera Sesión de Negociación de cada semana que ha comenzado la entrega; es decir, en la primera Sesión de Negociación de la semana S (que ha comenzado la entrega) se abre a negociación el contrato con entrega en la semana S+</w:t>
      </w:r>
      <w:r w:rsidR="006A2C8F">
        <w:rPr>
          <w:rFonts w:ascii="Arial" w:hAnsi="Arial" w:cs="Arial"/>
          <w:sz w:val="20"/>
          <w:szCs w:val="20"/>
          <w:lang w:val="es-ES_tradnl"/>
        </w:rPr>
        <w:t>4</w:t>
      </w:r>
      <w:r w:rsidRPr="002728C4">
        <w:rPr>
          <w:rFonts w:ascii="Arial" w:hAnsi="Arial" w:cs="Arial"/>
          <w:sz w:val="20"/>
          <w:szCs w:val="20"/>
          <w:lang w:val="es-ES_tradnl"/>
        </w:rPr>
        <w:t>, y así sucesivamente;</w:t>
      </w:r>
    </w:p>
    <w:p w14:paraId="487A4417" w14:textId="77777777" w:rsidR="002728C4" w:rsidRPr="002728C4" w:rsidRDefault="002728C4" w:rsidP="002728C4">
      <w:pPr>
        <w:pStyle w:val="PargrafodaLista"/>
        <w:numPr>
          <w:ilvl w:val="0"/>
          <w:numId w:val="13"/>
        </w:numPr>
        <w:spacing w:before="60" w:after="60"/>
        <w:jc w:val="both"/>
        <w:rPr>
          <w:rFonts w:ascii="Arial" w:hAnsi="Arial" w:cs="Arial"/>
          <w:sz w:val="20"/>
          <w:szCs w:val="20"/>
          <w:lang w:val="es-ES_tradnl"/>
        </w:rPr>
      </w:pPr>
      <w:r w:rsidRPr="002728C4">
        <w:rPr>
          <w:rFonts w:ascii="Arial" w:hAnsi="Arial" w:cs="Arial"/>
          <w:sz w:val="20"/>
          <w:szCs w:val="20"/>
          <w:lang w:val="es-ES_tradnl"/>
        </w:rPr>
        <w:t>Último Día de Negociación (UDN): corresponde al día de negociación anterior a la antevíspera del primer día de entrega;</w:t>
      </w:r>
    </w:p>
    <w:p w14:paraId="1592F52F" w14:textId="77777777" w:rsidR="002728C4" w:rsidRPr="002728C4" w:rsidRDefault="002728C4" w:rsidP="002728C4">
      <w:pPr>
        <w:pStyle w:val="PargrafodaLista"/>
        <w:numPr>
          <w:ilvl w:val="0"/>
          <w:numId w:val="13"/>
        </w:numPr>
        <w:spacing w:before="60" w:after="60"/>
        <w:jc w:val="both"/>
        <w:rPr>
          <w:rFonts w:ascii="Arial" w:hAnsi="Arial" w:cs="Arial"/>
          <w:sz w:val="20"/>
          <w:szCs w:val="20"/>
          <w:lang w:val="es-ES_tradnl"/>
        </w:rPr>
      </w:pPr>
      <w:r w:rsidRPr="002728C4">
        <w:rPr>
          <w:rFonts w:ascii="Arial" w:hAnsi="Arial" w:cs="Arial"/>
          <w:sz w:val="20"/>
          <w:szCs w:val="20"/>
          <w:lang w:val="es-ES_tradnl"/>
        </w:rPr>
        <w:t>Primer día de entrega: tiene lugar el lunes de cada semana;</w:t>
      </w:r>
    </w:p>
    <w:p w14:paraId="41D4C2D9" w14:textId="77777777" w:rsidR="002728C4" w:rsidRPr="002728C4" w:rsidRDefault="002728C4" w:rsidP="002728C4">
      <w:pPr>
        <w:pStyle w:val="PargrafodaLista"/>
        <w:numPr>
          <w:ilvl w:val="0"/>
          <w:numId w:val="13"/>
        </w:numPr>
        <w:spacing w:before="60" w:after="60"/>
        <w:jc w:val="both"/>
        <w:rPr>
          <w:rFonts w:ascii="Arial" w:hAnsi="Arial" w:cs="Arial"/>
          <w:sz w:val="20"/>
          <w:szCs w:val="20"/>
          <w:lang w:val="es-ES_tradnl"/>
        </w:rPr>
      </w:pPr>
      <w:r w:rsidRPr="002728C4">
        <w:rPr>
          <w:rFonts w:ascii="Arial" w:hAnsi="Arial" w:cs="Arial"/>
          <w:sz w:val="20"/>
          <w:szCs w:val="20"/>
          <w:lang w:val="es-ES_tradnl"/>
        </w:rPr>
        <w:t>Último día de entrega: tiene lugar el domingo de cada semana;</w:t>
      </w:r>
    </w:p>
    <w:p w14:paraId="1A43D035" w14:textId="77777777" w:rsidR="0012517E" w:rsidRDefault="002728C4" w:rsidP="002728C4">
      <w:pPr>
        <w:pStyle w:val="PargrafodaLista"/>
        <w:numPr>
          <w:ilvl w:val="0"/>
          <w:numId w:val="13"/>
        </w:numPr>
        <w:spacing w:before="60" w:after="60"/>
        <w:jc w:val="both"/>
        <w:rPr>
          <w:rFonts w:ascii="Arial" w:hAnsi="Arial" w:cs="Arial"/>
          <w:sz w:val="20"/>
          <w:szCs w:val="20"/>
          <w:lang w:val="es-ES_tradnl"/>
        </w:rPr>
      </w:pPr>
      <w:r w:rsidRPr="002728C4">
        <w:rPr>
          <w:rFonts w:ascii="Arial" w:hAnsi="Arial" w:cs="Arial"/>
          <w:sz w:val="20"/>
          <w:szCs w:val="20"/>
          <w:lang w:val="es-ES_tradnl"/>
        </w:rPr>
        <w:t>Período de Entrega: cada una de las semanas de calendario, con inicio a las 00:00 h. del primer día de entrega y término a las 24:00 h. del último día de entrega.</w:t>
      </w:r>
    </w:p>
    <w:p w14:paraId="36973EC5" w14:textId="77777777" w:rsidR="0012517E" w:rsidRDefault="0012517E" w:rsidP="001D6D89">
      <w:pPr>
        <w:pStyle w:val="PargrafodaLista"/>
        <w:spacing w:before="60" w:after="60"/>
        <w:ind w:left="426" w:hanging="426"/>
        <w:contextualSpacing w:val="0"/>
        <w:jc w:val="both"/>
        <w:rPr>
          <w:rFonts w:ascii="Arial" w:hAnsi="Arial" w:cs="Arial"/>
          <w:sz w:val="20"/>
          <w:szCs w:val="20"/>
          <w:lang w:val="es-ES_tradnl"/>
        </w:rPr>
      </w:pPr>
    </w:p>
    <w:p w14:paraId="634FEA46" w14:textId="77777777" w:rsidR="002728C4" w:rsidRPr="002728C4" w:rsidRDefault="002728C4" w:rsidP="002728C4">
      <w:pPr>
        <w:spacing w:before="60" w:after="60"/>
        <w:jc w:val="both"/>
        <w:rPr>
          <w:rFonts w:ascii="Arial" w:hAnsi="Arial" w:cs="Arial"/>
          <w:b/>
          <w:color w:val="92D050"/>
          <w:sz w:val="20"/>
          <w:szCs w:val="28"/>
          <w:lang w:val="es-ES_tradnl"/>
        </w:rPr>
      </w:pPr>
      <w:r w:rsidRPr="002728C4">
        <w:rPr>
          <w:rFonts w:ascii="Arial" w:hAnsi="Arial" w:cs="Arial"/>
          <w:b/>
          <w:color w:val="92D050"/>
          <w:sz w:val="20"/>
          <w:szCs w:val="28"/>
          <w:lang w:val="es-ES_tradnl"/>
        </w:rPr>
        <w:t xml:space="preserve">Cláusula </w:t>
      </w:r>
      <w:r w:rsidR="00AE3F67">
        <w:rPr>
          <w:rFonts w:ascii="Arial" w:hAnsi="Arial" w:cs="Arial"/>
          <w:b/>
          <w:color w:val="92D050"/>
          <w:sz w:val="20"/>
          <w:szCs w:val="28"/>
          <w:lang w:val="es-ES_tradnl"/>
        </w:rPr>
        <w:t>8</w:t>
      </w:r>
      <w:r w:rsidRPr="002728C4">
        <w:rPr>
          <w:rFonts w:ascii="Arial" w:hAnsi="Arial" w:cs="Arial"/>
          <w:b/>
          <w:color w:val="92D050"/>
          <w:sz w:val="20"/>
          <w:szCs w:val="28"/>
          <w:lang w:val="es-ES_tradnl"/>
        </w:rPr>
        <w:t>ª – Contratos de Futuros MIBEL PTEL Base Financieros Mes - Período de Negociación y Período de Entrega</w:t>
      </w:r>
    </w:p>
    <w:p w14:paraId="0BDB700D" w14:textId="3F1BFBEF" w:rsidR="002728C4" w:rsidRPr="002728C4" w:rsidRDefault="002728C4" w:rsidP="002728C4">
      <w:pPr>
        <w:pStyle w:val="PargrafodaLista"/>
        <w:spacing w:before="60" w:after="60"/>
        <w:ind w:left="426" w:hanging="426"/>
        <w:contextualSpacing w:val="0"/>
        <w:jc w:val="both"/>
        <w:rPr>
          <w:rFonts w:ascii="Arial" w:hAnsi="Arial" w:cs="Arial"/>
          <w:sz w:val="20"/>
          <w:szCs w:val="20"/>
          <w:lang w:val="es-ES_tradnl"/>
        </w:rPr>
      </w:pPr>
      <w:r w:rsidRPr="002728C4">
        <w:rPr>
          <w:rFonts w:ascii="Arial" w:hAnsi="Arial" w:cs="Arial"/>
          <w:sz w:val="20"/>
          <w:szCs w:val="20"/>
          <w:lang w:val="es-ES_tradnl"/>
        </w:rPr>
        <w:t>1.</w:t>
      </w:r>
      <w:r w:rsidRPr="002728C4">
        <w:rPr>
          <w:rFonts w:ascii="Arial" w:hAnsi="Arial" w:cs="Arial"/>
          <w:sz w:val="20"/>
          <w:szCs w:val="20"/>
          <w:lang w:val="es-ES_tradnl"/>
        </w:rPr>
        <w:tab/>
      </w:r>
      <w:r w:rsidR="00202331" w:rsidRPr="00043DED">
        <w:rPr>
          <w:rFonts w:ascii="Arial" w:hAnsi="Arial" w:cs="Arial"/>
          <w:sz w:val="20"/>
          <w:szCs w:val="20"/>
          <w:lang w:val="es-ES_tradnl"/>
        </w:rPr>
        <w:t>En todo momento, están abiertos a neg</w:t>
      </w:r>
      <w:r w:rsidR="00202331">
        <w:rPr>
          <w:rFonts w:ascii="Arial" w:hAnsi="Arial" w:cs="Arial"/>
          <w:sz w:val="20"/>
          <w:szCs w:val="20"/>
          <w:lang w:val="es-ES_tradnl"/>
        </w:rPr>
        <w:t xml:space="preserve">ociación 6 contratos, </w:t>
      </w:r>
      <w:r w:rsidR="006A7F9A">
        <w:rPr>
          <w:rFonts w:ascii="Arial" w:hAnsi="Arial" w:cs="Arial"/>
          <w:sz w:val="20"/>
          <w:szCs w:val="20"/>
          <w:lang w:val="es-ES_tradnl"/>
        </w:rPr>
        <w:t>cuyos los períodos</w:t>
      </w:r>
      <w:r w:rsidR="00202331">
        <w:rPr>
          <w:rFonts w:ascii="Arial" w:hAnsi="Arial" w:cs="Arial"/>
          <w:sz w:val="20"/>
          <w:szCs w:val="20"/>
          <w:lang w:val="es-ES_tradnl"/>
        </w:rPr>
        <w:t xml:space="preserve"> de entrega </w:t>
      </w:r>
      <w:r w:rsidR="00202331" w:rsidRPr="00043DED">
        <w:rPr>
          <w:rFonts w:ascii="Arial" w:hAnsi="Arial" w:cs="Arial"/>
          <w:sz w:val="20"/>
          <w:szCs w:val="20"/>
          <w:lang w:val="es-ES_tradnl"/>
        </w:rPr>
        <w:t>corresponden a</w:t>
      </w:r>
      <w:r w:rsidR="00202331">
        <w:rPr>
          <w:rFonts w:ascii="Arial" w:hAnsi="Arial" w:cs="Arial"/>
          <w:sz w:val="20"/>
          <w:szCs w:val="20"/>
          <w:lang w:val="es-ES_tradnl"/>
        </w:rPr>
        <w:t xml:space="preserve"> los </w:t>
      </w:r>
      <w:r w:rsidR="00202331" w:rsidRPr="00043DED">
        <w:rPr>
          <w:rFonts w:ascii="Arial" w:hAnsi="Arial" w:cs="Arial"/>
          <w:sz w:val="20"/>
          <w:szCs w:val="20"/>
          <w:lang w:val="es-ES_tradnl"/>
        </w:rPr>
        <w:t>6 meses más cerca</w:t>
      </w:r>
      <w:r w:rsidR="00202331">
        <w:rPr>
          <w:rFonts w:ascii="Arial" w:hAnsi="Arial" w:cs="Arial"/>
          <w:sz w:val="20"/>
          <w:szCs w:val="20"/>
          <w:lang w:val="es-ES_tradnl"/>
        </w:rPr>
        <w:t>nos</w:t>
      </w:r>
      <w:r w:rsidRPr="002728C4">
        <w:rPr>
          <w:rFonts w:ascii="Arial" w:hAnsi="Arial" w:cs="Arial"/>
          <w:sz w:val="20"/>
          <w:szCs w:val="20"/>
          <w:lang w:val="es-ES_tradnl"/>
        </w:rPr>
        <w:t>.</w:t>
      </w:r>
    </w:p>
    <w:p w14:paraId="7C66566B" w14:textId="77777777" w:rsidR="002728C4" w:rsidRPr="002728C4" w:rsidRDefault="002728C4" w:rsidP="002728C4">
      <w:pPr>
        <w:pStyle w:val="PargrafodaLista"/>
        <w:spacing w:before="60" w:after="60"/>
        <w:ind w:left="426" w:hanging="426"/>
        <w:contextualSpacing w:val="0"/>
        <w:jc w:val="both"/>
        <w:rPr>
          <w:rFonts w:ascii="Arial" w:hAnsi="Arial" w:cs="Arial"/>
          <w:sz w:val="20"/>
          <w:szCs w:val="20"/>
          <w:lang w:val="es-ES_tradnl"/>
        </w:rPr>
      </w:pPr>
      <w:r w:rsidRPr="002728C4">
        <w:rPr>
          <w:rFonts w:ascii="Arial" w:hAnsi="Arial" w:cs="Arial"/>
          <w:sz w:val="20"/>
          <w:szCs w:val="20"/>
          <w:lang w:val="es-ES_tradnl"/>
        </w:rPr>
        <w:t>2.</w:t>
      </w:r>
      <w:r w:rsidRPr="002728C4">
        <w:rPr>
          <w:rFonts w:ascii="Arial" w:hAnsi="Arial" w:cs="Arial"/>
          <w:sz w:val="20"/>
          <w:szCs w:val="20"/>
          <w:lang w:val="es-ES_tradnl"/>
        </w:rPr>
        <w:tab/>
      </w:r>
      <w:r w:rsidR="00202331">
        <w:rPr>
          <w:rFonts w:ascii="Arial" w:hAnsi="Arial" w:cs="Arial"/>
          <w:sz w:val="20"/>
          <w:szCs w:val="20"/>
          <w:lang w:val="es-ES_tradnl"/>
        </w:rPr>
        <w:t>Siempre que un contrato termina</w:t>
      </w:r>
      <w:r w:rsidR="00202331" w:rsidRPr="00134264">
        <w:rPr>
          <w:rFonts w:ascii="Arial" w:hAnsi="Arial" w:cs="Arial"/>
          <w:sz w:val="20"/>
          <w:szCs w:val="20"/>
          <w:lang w:val="es-ES_tradnl"/>
        </w:rPr>
        <w:t xml:space="preserve"> su periodo de negociación,</w:t>
      </w:r>
      <w:r w:rsidR="00202331" w:rsidRPr="00DE6304">
        <w:rPr>
          <w:lang w:val="es-ES"/>
        </w:rPr>
        <w:t xml:space="preserve"> </w:t>
      </w:r>
      <w:r w:rsidR="00202331" w:rsidRPr="00134264">
        <w:rPr>
          <w:rFonts w:ascii="Arial" w:hAnsi="Arial" w:cs="Arial"/>
          <w:sz w:val="20"/>
          <w:szCs w:val="20"/>
          <w:lang w:val="es-ES_tradnl"/>
        </w:rPr>
        <w:t xml:space="preserve">es lanzado </w:t>
      </w:r>
      <w:r w:rsidR="00202331">
        <w:rPr>
          <w:rFonts w:ascii="Arial" w:hAnsi="Arial" w:cs="Arial"/>
          <w:sz w:val="20"/>
          <w:szCs w:val="20"/>
          <w:lang w:val="es-ES_tradnl"/>
        </w:rPr>
        <w:t xml:space="preserve">un contrato </w:t>
      </w:r>
      <w:r w:rsidR="00202331" w:rsidRPr="00134264">
        <w:rPr>
          <w:rFonts w:ascii="Arial" w:hAnsi="Arial" w:cs="Arial"/>
          <w:sz w:val="20"/>
          <w:szCs w:val="20"/>
          <w:lang w:val="es-ES_tradnl"/>
        </w:rPr>
        <w:t>con la entrega más larga</w:t>
      </w:r>
      <w:r w:rsidR="00202331">
        <w:rPr>
          <w:rFonts w:ascii="Arial" w:hAnsi="Arial" w:cs="Arial"/>
          <w:sz w:val="20"/>
          <w:szCs w:val="20"/>
          <w:lang w:val="es-ES_tradnl"/>
        </w:rPr>
        <w:t xml:space="preserve"> (sexto mes más próximo en negociación) </w:t>
      </w:r>
      <w:r w:rsidR="00202331" w:rsidRPr="00134264">
        <w:rPr>
          <w:rFonts w:ascii="Arial" w:hAnsi="Arial" w:cs="Arial"/>
          <w:sz w:val="20"/>
          <w:szCs w:val="20"/>
          <w:lang w:val="es-ES_tradnl"/>
        </w:rPr>
        <w:t>con las siguientes características:</w:t>
      </w:r>
    </w:p>
    <w:p w14:paraId="7D0E53CF" w14:textId="77777777" w:rsidR="002728C4" w:rsidRPr="002728C4" w:rsidRDefault="002728C4" w:rsidP="002728C4">
      <w:pPr>
        <w:pStyle w:val="PargrafodaLista"/>
        <w:numPr>
          <w:ilvl w:val="0"/>
          <w:numId w:val="21"/>
        </w:numPr>
        <w:spacing w:before="60" w:after="60"/>
        <w:jc w:val="both"/>
        <w:rPr>
          <w:rFonts w:ascii="Arial" w:hAnsi="Arial" w:cs="Arial"/>
          <w:sz w:val="20"/>
          <w:szCs w:val="20"/>
          <w:lang w:val="es-ES_tradnl"/>
        </w:rPr>
      </w:pPr>
      <w:r w:rsidRPr="002728C4">
        <w:rPr>
          <w:rFonts w:ascii="Arial" w:hAnsi="Arial" w:cs="Arial"/>
          <w:sz w:val="20"/>
          <w:szCs w:val="20"/>
          <w:lang w:val="es-ES_tradnl"/>
        </w:rPr>
        <w:t xml:space="preserve">Primer día de negociación: </w:t>
      </w:r>
      <w:r w:rsidR="00202331" w:rsidRPr="00134264">
        <w:rPr>
          <w:rFonts w:ascii="Arial" w:hAnsi="Arial" w:cs="Arial"/>
          <w:sz w:val="20"/>
          <w:szCs w:val="20"/>
          <w:lang w:val="es-ES_tradnl"/>
        </w:rPr>
        <w:t xml:space="preserve">Ocurre en la primera sesión </w:t>
      </w:r>
      <w:r w:rsidR="00202331">
        <w:rPr>
          <w:rFonts w:ascii="Arial" w:hAnsi="Arial" w:cs="Arial"/>
          <w:sz w:val="20"/>
          <w:szCs w:val="20"/>
          <w:lang w:val="es-ES_tradnl"/>
        </w:rPr>
        <w:t xml:space="preserve">de </w:t>
      </w:r>
      <w:r w:rsidR="00202331" w:rsidRPr="00134264">
        <w:rPr>
          <w:rFonts w:ascii="Arial" w:hAnsi="Arial" w:cs="Arial"/>
          <w:sz w:val="20"/>
          <w:szCs w:val="20"/>
          <w:lang w:val="es-ES_tradnl"/>
        </w:rPr>
        <w:t>negociación del 6º mes anterior al mes de que se trata</w:t>
      </w:r>
      <w:r w:rsidRPr="002728C4">
        <w:rPr>
          <w:rFonts w:ascii="Arial" w:hAnsi="Arial" w:cs="Arial"/>
          <w:sz w:val="20"/>
          <w:szCs w:val="20"/>
          <w:lang w:val="es-ES_tradnl"/>
        </w:rPr>
        <w:t>;</w:t>
      </w:r>
    </w:p>
    <w:p w14:paraId="29B21FAA" w14:textId="77777777" w:rsidR="002728C4" w:rsidRPr="002728C4" w:rsidRDefault="002728C4" w:rsidP="002728C4">
      <w:pPr>
        <w:pStyle w:val="PargrafodaLista"/>
        <w:numPr>
          <w:ilvl w:val="0"/>
          <w:numId w:val="21"/>
        </w:numPr>
        <w:spacing w:before="60" w:after="60"/>
        <w:jc w:val="both"/>
        <w:rPr>
          <w:rFonts w:ascii="Arial" w:hAnsi="Arial" w:cs="Arial"/>
          <w:sz w:val="20"/>
          <w:szCs w:val="20"/>
          <w:lang w:val="es-ES_tradnl"/>
        </w:rPr>
      </w:pPr>
      <w:r w:rsidRPr="002728C4">
        <w:rPr>
          <w:rFonts w:ascii="Arial" w:hAnsi="Arial" w:cs="Arial"/>
          <w:sz w:val="20"/>
          <w:szCs w:val="20"/>
          <w:lang w:val="es-ES_tradnl"/>
        </w:rPr>
        <w:t>Último Día de Negociación (UDN): corresponde al día de negociación anterior al primer día de entrega;</w:t>
      </w:r>
    </w:p>
    <w:p w14:paraId="31759327" w14:textId="77777777" w:rsidR="002728C4" w:rsidRPr="002728C4" w:rsidRDefault="002728C4" w:rsidP="002728C4">
      <w:pPr>
        <w:pStyle w:val="PargrafodaLista"/>
        <w:numPr>
          <w:ilvl w:val="0"/>
          <w:numId w:val="21"/>
        </w:numPr>
        <w:spacing w:before="60" w:after="60"/>
        <w:jc w:val="both"/>
        <w:rPr>
          <w:rFonts w:ascii="Arial" w:hAnsi="Arial" w:cs="Arial"/>
          <w:sz w:val="20"/>
          <w:szCs w:val="20"/>
          <w:lang w:val="es-ES_tradnl"/>
        </w:rPr>
      </w:pPr>
      <w:r w:rsidRPr="002728C4">
        <w:rPr>
          <w:rFonts w:ascii="Arial" w:hAnsi="Arial" w:cs="Arial"/>
          <w:sz w:val="20"/>
          <w:szCs w:val="20"/>
          <w:lang w:val="es-ES_tradnl"/>
        </w:rPr>
        <w:t>Primer día de entrega: tiene lugar el primer día de calendario de cada mes;</w:t>
      </w:r>
    </w:p>
    <w:p w14:paraId="069B0335" w14:textId="77777777" w:rsidR="002728C4" w:rsidRPr="002728C4" w:rsidRDefault="002728C4" w:rsidP="002728C4">
      <w:pPr>
        <w:pStyle w:val="PargrafodaLista"/>
        <w:numPr>
          <w:ilvl w:val="0"/>
          <w:numId w:val="21"/>
        </w:numPr>
        <w:spacing w:before="60" w:after="60"/>
        <w:jc w:val="both"/>
        <w:rPr>
          <w:rFonts w:ascii="Arial" w:hAnsi="Arial" w:cs="Arial"/>
          <w:sz w:val="20"/>
          <w:szCs w:val="20"/>
          <w:lang w:val="es-ES_tradnl"/>
        </w:rPr>
      </w:pPr>
      <w:r w:rsidRPr="002728C4">
        <w:rPr>
          <w:rFonts w:ascii="Arial" w:hAnsi="Arial" w:cs="Arial"/>
          <w:sz w:val="20"/>
          <w:szCs w:val="20"/>
          <w:lang w:val="es-ES_tradnl"/>
        </w:rPr>
        <w:t>Último día de entrega: tiene lugar el último día de calendario de cada mes;</w:t>
      </w:r>
    </w:p>
    <w:p w14:paraId="03D6B909" w14:textId="77777777" w:rsidR="0012517E" w:rsidRDefault="002728C4" w:rsidP="002728C4">
      <w:pPr>
        <w:pStyle w:val="PargrafodaLista"/>
        <w:numPr>
          <w:ilvl w:val="0"/>
          <w:numId w:val="21"/>
        </w:numPr>
        <w:spacing w:before="60" w:after="60"/>
        <w:contextualSpacing w:val="0"/>
        <w:jc w:val="both"/>
        <w:rPr>
          <w:rFonts w:ascii="Arial" w:hAnsi="Arial" w:cs="Arial"/>
          <w:sz w:val="20"/>
          <w:szCs w:val="20"/>
          <w:lang w:val="es-ES_tradnl"/>
        </w:rPr>
      </w:pPr>
      <w:r w:rsidRPr="002728C4">
        <w:rPr>
          <w:rFonts w:ascii="Arial" w:hAnsi="Arial" w:cs="Arial"/>
          <w:sz w:val="20"/>
          <w:szCs w:val="20"/>
          <w:lang w:val="es-ES_tradnl"/>
        </w:rPr>
        <w:t>Período de Entrega: cada uno de los meses de calendario, con inicio a las 00:00 h. del primer día de entrega y término a las 24:00 h. del último día de entrega.</w:t>
      </w:r>
    </w:p>
    <w:p w14:paraId="5F854B42" w14:textId="77777777" w:rsidR="00A22840" w:rsidRDefault="00A22840" w:rsidP="00FE6181">
      <w:pPr>
        <w:spacing w:before="60" w:after="60"/>
        <w:jc w:val="both"/>
        <w:rPr>
          <w:rFonts w:ascii="Arial" w:hAnsi="Arial" w:cs="Arial"/>
          <w:b/>
          <w:color w:val="92D050"/>
          <w:sz w:val="20"/>
          <w:szCs w:val="28"/>
          <w:lang w:val="es-ES_tradnl"/>
        </w:rPr>
      </w:pPr>
    </w:p>
    <w:p w14:paraId="17A51DA3" w14:textId="77777777" w:rsidR="00FE6181" w:rsidRPr="00FE6181" w:rsidRDefault="00FE6181" w:rsidP="00FE6181">
      <w:pPr>
        <w:spacing w:before="60" w:after="60"/>
        <w:jc w:val="both"/>
        <w:rPr>
          <w:rFonts w:ascii="Arial" w:hAnsi="Arial" w:cs="Arial"/>
          <w:b/>
          <w:color w:val="92D050"/>
          <w:sz w:val="20"/>
          <w:szCs w:val="28"/>
          <w:lang w:val="es-ES_tradnl"/>
        </w:rPr>
      </w:pPr>
      <w:r w:rsidRPr="00FE6181">
        <w:rPr>
          <w:rFonts w:ascii="Arial" w:hAnsi="Arial" w:cs="Arial"/>
          <w:b/>
          <w:color w:val="92D050"/>
          <w:sz w:val="20"/>
          <w:szCs w:val="28"/>
          <w:lang w:val="es-ES_tradnl"/>
        </w:rPr>
        <w:t xml:space="preserve">Cláusula </w:t>
      </w:r>
      <w:r w:rsidR="00AE3F67">
        <w:rPr>
          <w:rFonts w:ascii="Arial" w:hAnsi="Arial" w:cs="Arial"/>
          <w:b/>
          <w:color w:val="92D050"/>
          <w:sz w:val="20"/>
          <w:szCs w:val="28"/>
          <w:lang w:val="es-ES_tradnl"/>
        </w:rPr>
        <w:t>9</w:t>
      </w:r>
      <w:r w:rsidRPr="00FE6181">
        <w:rPr>
          <w:rFonts w:ascii="Arial" w:hAnsi="Arial" w:cs="Arial"/>
          <w:b/>
          <w:color w:val="92D050"/>
          <w:sz w:val="20"/>
          <w:szCs w:val="28"/>
          <w:lang w:val="es-ES_tradnl"/>
        </w:rPr>
        <w:t>ª – Contratos de Futuros MIBEL PTEL Base Financieros Trimestre - Período de Negociación y Período de Entrega</w:t>
      </w:r>
    </w:p>
    <w:p w14:paraId="346EB6F4" w14:textId="77777777" w:rsidR="00FE6181" w:rsidRPr="00FE6181" w:rsidRDefault="00FE6181" w:rsidP="00FE6181">
      <w:pPr>
        <w:pStyle w:val="PargrafodaLista"/>
        <w:spacing w:before="60" w:after="60"/>
        <w:ind w:left="426" w:hanging="426"/>
        <w:contextualSpacing w:val="0"/>
        <w:jc w:val="both"/>
        <w:rPr>
          <w:rFonts w:ascii="Arial" w:hAnsi="Arial" w:cs="Arial"/>
          <w:sz w:val="20"/>
          <w:szCs w:val="20"/>
          <w:lang w:val="es-ES_tradnl"/>
        </w:rPr>
      </w:pPr>
      <w:r w:rsidRPr="00FE6181">
        <w:rPr>
          <w:rFonts w:ascii="Arial" w:hAnsi="Arial" w:cs="Arial"/>
          <w:sz w:val="20"/>
          <w:szCs w:val="20"/>
          <w:lang w:val="es-ES_tradnl"/>
        </w:rPr>
        <w:t>1.</w:t>
      </w:r>
      <w:r w:rsidRPr="00FE6181">
        <w:rPr>
          <w:rFonts w:ascii="Arial" w:hAnsi="Arial" w:cs="Arial"/>
          <w:sz w:val="20"/>
          <w:szCs w:val="20"/>
          <w:lang w:val="es-ES_tradnl"/>
        </w:rPr>
        <w:tab/>
      </w:r>
      <w:r w:rsidR="00202331">
        <w:rPr>
          <w:rFonts w:ascii="Arial" w:hAnsi="Arial" w:cs="Arial"/>
          <w:sz w:val="20"/>
          <w:szCs w:val="20"/>
          <w:lang w:val="es-ES_tradnl"/>
        </w:rPr>
        <w:t>A</w:t>
      </w:r>
      <w:r w:rsidR="00202331" w:rsidRPr="00952C3C">
        <w:rPr>
          <w:rFonts w:ascii="Arial" w:hAnsi="Arial" w:cs="Arial"/>
          <w:sz w:val="20"/>
          <w:szCs w:val="20"/>
          <w:lang w:val="es-ES_tradnl"/>
        </w:rPr>
        <w:t xml:space="preserve"> todo momento </w:t>
      </w:r>
      <w:r w:rsidR="00202331">
        <w:rPr>
          <w:rFonts w:ascii="Arial" w:hAnsi="Arial" w:cs="Arial"/>
          <w:sz w:val="20"/>
          <w:szCs w:val="20"/>
          <w:lang w:val="es-ES_tradnl"/>
        </w:rPr>
        <w:t>están abierto</w:t>
      </w:r>
      <w:r w:rsidR="00202331" w:rsidRPr="00952C3C">
        <w:rPr>
          <w:rFonts w:ascii="Arial" w:hAnsi="Arial" w:cs="Arial"/>
          <w:sz w:val="20"/>
          <w:szCs w:val="20"/>
          <w:lang w:val="es-ES_tradnl"/>
        </w:rPr>
        <w:t>s a la negociación 6 o 7 contratos</w:t>
      </w:r>
      <w:r w:rsidR="00202331">
        <w:rPr>
          <w:rFonts w:ascii="Arial" w:hAnsi="Arial" w:cs="Arial"/>
          <w:sz w:val="20"/>
          <w:szCs w:val="20"/>
          <w:lang w:val="es-ES_tradnl"/>
        </w:rPr>
        <w:t xml:space="preserve"> de trimestre cuyo</w:t>
      </w:r>
      <w:r w:rsidR="00202331" w:rsidRPr="00952C3C">
        <w:rPr>
          <w:rFonts w:ascii="Arial" w:hAnsi="Arial" w:cs="Arial"/>
          <w:sz w:val="20"/>
          <w:szCs w:val="20"/>
          <w:lang w:val="es-ES_tradnl"/>
        </w:rPr>
        <w:t xml:space="preserve"> </w:t>
      </w:r>
      <w:r w:rsidR="00202331">
        <w:rPr>
          <w:rFonts w:ascii="Arial" w:hAnsi="Arial" w:cs="Arial"/>
          <w:sz w:val="20"/>
          <w:szCs w:val="20"/>
          <w:lang w:val="es-ES_tradnl"/>
        </w:rPr>
        <w:t xml:space="preserve">los períodos </w:t>
      </w:r>
      <w:proofErr w:type="gramStart"/>
      <w:r w:rsidR="00202331">
        <w:rPr>
          <w:rFonts w:ascii="Arial" w:hAnsi="Arial" w:cs="Arial"/>
          <w:sz w:val="20"/>
          <w:szCs w:val="20"/>
          <w:lang w:val="es-ES_tradnl"/>
        </w:rPr>
        <w:t xml:space="preserve">de </w:t>
      </w:r>
      <w:r w:rsidR="00202331" w:rsidRPr="00952C3C">
        <w:rPr>
          <w:rFonts w:ascii="Arial" w:hAnsi="Arial" w:cs="Arial"/>
          <w:sz w:val="20"/>
          <w:szCs w:val="20"/>
          <w:lang w:val="es-ES_tradnl"/>
        </w:rPr>
        <w:t xml:space="preserve"> entrega</w:t>
      </w:r>
      <w:proofErr w:type="gramEnd"/>
      <w:r w:rsidR="00202331" w:rsidRPr="00952C3C">
        <w:rPr>
          <w:rFonts w:ascii="Arial" w:hAnsi="Arial" w:cs="Arial"/>
          <w:sz w:val="20"/>
          <w:szCs w:val="20"/>
          <w:lang w:val="es-ES_tradnl"/>
        </w:rPr>
        <w:t xml:space="preserve"> corresponden </w:t>
      </w:r>
      <w:r w:rsidR="00202331">
        <w:rPr>
          <w:rFonts w:ascii="Arial" w:hAnsi="Arial" w:cs="Arial"/>
          <w:sz w:val="20"/>
          <w:szCs w:val="20"/>
          <w:lang w:val="es-ES_tradnl"/>
        </w:rPr>
        <w:t>a 6 o 7 trimestres</w:t>
      </w:r>
      <w:r w:rsidR="00202331" w:rsidRPr="00952C3C">
        <w:rPr>
          <w:rFonts w:ascii="Arial" w:hAnsi="Arial" w:cs="Arial"/>
          <w:sz w:val="20"/>
          <w:szCs w:val="20"/>
          <w:lang w:val="es-ES_tradnl"/>
        </w:rPr>
        <w:t xml:space="preserve"> más </w:t>
      </w:r>
      <w:r w:rsidR="00202331">
        <w:rPr>
          <w:rFonts w:ascii="Arial" w:hAnsi="Arial" w:cs="Arial"/>
          <w:sz w:val="20"/>
          <w:szCs w:val="20"/>
          <w:lang w:val="es-ES_tradnl"/>
        </w:rPr>
        <w:t xml:space="preserve">cercanos </w:t>
      </w:r>
      <w:r w:rsidR="00202331" w:rsidRPr="00952C3C">
        <w:rPr>
          <w:rFonts w:ascii="Arial" w:hAnsi="Arial" w:cs="Arial"/>
          <w:sz w:val="20"/>
          <w:szCs w:val="20"/>
          <w:lang w:val="es-ES_tradnl"/>
        </w:rPr>
        <w:t>de acuerdo con la siguiente regla</w:t>
      </w:r>
      <w:r w:rsidR="00202331">
        <w:rPr>
          <w:rFonts w:ascii="Arial" w:hAnsi="Arial" w:cs="Arial"/>
          <w:sz w:val="20"/>
          <w:szCs w:val="20"/>
          <w:lang w:val="es-ES_tradnl"/>
        </w:rPr>
        <w:t>:</w:t>
      </w:r>
      <w:r w:rsidRPr="00FE6181">
        <w:rPr>
          <w:rFonts w:ascii="Arial" w:hAnsi="Arial" w:cs="Arial"/>
          <w:sz w:val="20"/>
          <w:szCs w:val="20"/>
          <w:lang w:val="es-ES_tradnl"/>
        </w:rPr>
        <w:t>.</w:t>
      </w:r>
    </w:p>
    <w:p w14:paraId="166D8616" w14:textId="77777777" w:rsidR="00FE6181" w:rsidRPr="00FE6181" w:rsidRDefault="00FE6181" w:rsidP="00FE6181">
      <w:pPr>
        <w:pStyle w:val="PargrafodaLista"/>
        <w:spacing w:before="60" w:after="60"/>
        <w:ind w:left="426" w:hanging="426"/>
        <w:contextualSpacing w:val="0"/>
        <w:jc w:val="both"/>
        <w:rPr>
          <w:rFonts w:ascii="Arial" w:hAnsi="Arial" w:cs="Arial"/>
          <w:sz w:val="20"/>
          <w:szCs w:val="20"/>
          <w:lang w:val="es-ES_tradnl"/>
        </w:rPr>
      </w:pPr>
      <w:r w:rsidRPr="00FE6181">
        <w:rPr>
          <w:rFonts w:ascii="Arial" w:hAnsi="Arial" w:cs="Arial"/>
          <w:sz w:val="20"/>
          <w:szCs w:val="20"/>
          <w:lang w:val="es-ES_tradnl"/>
        </w:rPr>
        <w:t>2.</w:t>
      </w:r>
      <w:r w:rsidRPr="00FE6181">
        <w:rPr>
          <w:rFonts w:ascii="Arial" w:hAnsi="Arial" w:cs="Arial"/>
          <w:sz w:val="20"/>
          <w:szCs w:val="20"/>
          <w:lang w:val="es-ES_tradnl"/>
        </w:rPr>
        <w:tab/>
      </w:r>
      <w:r w:rsidR="00202331">
        <w:rPr>
          <w:rFonts w:ascii="Arial" w:hAnsi="Arial" w:cs="Arial"/>
          <w:sz w:val="20"/>
          <w:szCs w:val="20"/>
          <w:lang w:val="es-ES_tradnl"/>
        </w:rPr>
        <w:t>Siempre que un contrato termina</w:t>
      </w:r>
      <w:r w:rsidR="00202331" w:rsidRPr="00134264">
        <w:rPr>
          <w:rFonts w:ascii="Arial" w:hAnsi="Arial" w:cs="Arial"/>
          <w:sz w:val="20"/>
          <w:szCs w:val="20"/>
          <w:lang w:val="es-ES_tradnl"/>
        </w:rPr>
        <w:t xml:space="preserve"> su periodo de negociación,</w:t>
      </w:r>
      <w:r w:rsidR="00202331" w:rsidRPr="00DE6304">
        <w:rPr>
          <w:lang w:val="es-ES"/>
        </w:rPr>
        <w:t xml:space="preserve"> </w:t>
      </w:r>
      <w:r w:rsidR="00202331" w:rsidRPr="00134264">
        <w:rPr>
          <w:rFonts w:ascii="Arial" w:hAnsi="Arial" w:cs="Arial"/>
          <w:sz w:val="20"/>
          <w:szCs w:val="20"/>
          <w:lang w:val="es-ES_tradnl"/>
        </w:rPr>
        <w:t xml:space="preserve">es lanzado </w:t>
      </w:r>
      <w:r w:rsidR="00202331">
        <w:rPr>
          <w:rFonts w:ascii="Arial" w:hAnsi="Arial" w:cs="Arial"/>
          <w:sz w:val="20"/>
          <w:szCs w:val="20"/>
          <w:lang w:val="es-ES_tradnl"/>
        </w:rPr>
        <w:t xml:space="preserve">un contrato </w:t>
      </w:r>
      <w:r w:rsidR="00202331" w:rsidRPr="00134264">
        <w:rPr>
          <w:rFonts w:ascii="Arial" w:hAnsi="Arial" w:cs="Arial"/>
          <w:sz w:val="20"/>
          <w:szCs w:val="20"/>
          <w:lang w:val="es-ES_tradnl"/>
        </w:rPr>
        <w:t>con la entrega más larga</w:t>
      </w:r>
      <w:r w:rsidR="00202331">
        <w:rPr>
          <w:rFonts w:ascii="Arial" w:hAnsi="Arial" w:cs="Arial"/>
          <w:sz w:val="20"/>
          <w:szCs w:val="20"/>
          <w:lang w:val="es-ES_tradnl"/>
        </w:rPr>
        <w:t xml:space="preserve"> (</w:t>
      </w:r>
      <w:r w:rsidR="001558E4">
        <w:rPr>
          <w:rFonts w:ascii="Arial" w:hAnsi="Arial" w:cs="Arial"/>
          <w:sz w:val="20"/>
          <w:szCs w:val="20"/>
          <w:lang w:val="es-ES_tradnl"/>
        </w:rPr>
        <w:t>séptimo</w:t>
      </w:r>
      <w:r w:rsidR="00202331">
        <w:rPr>
          <w:rFonts w:ascii="Arial" w:hAnsi="Arial" w:cs="Arial"/>
          <w:sz w:val="20"/>
          <w:szCs w:val="20"/>
          <w:lang w:val="es-ES_tradnl"/>
        </w:rPr>
        <w:t xml:space="preserve"> trimestre más cercano en negociación) </w:t>
      </w:r>
      <w:r w:rsidR="00202331" w:rsidRPr="00134264">
        <w:rPr>
          <w:rFonts w:ascii="Arial" w:hAnsi="Arial" w:cs="Arial"/>
          <w:sz w:val="20"/>
          <w:szCs w:val="20"/>
          <w:lang w:val="es-ES_tradnl"/>
        </w:rPr>
        <w:t>con las siguientes características:</w:t>
      </w:r>
    </w:p>
    <w:p w14:paraId="02BDAC7F" w14:textId="77777777" w:rsidR="00FE6181" w:rsidRPr="00A433CC" w:rsidRDefault="00FE6181" w:rsidP="004B0E15">
      <w:pPr>
        <w:pStyle w:val="PargrafodaLista"/>
        <w:numPr>
          <w:ilvl w:val="0"/>
          <w:numId w:val="22"/>
        </w:numPr>
        <w:spacing w:before="60" w:after="60"/>
        <w:jc w:val="both"/>
        <w:rPr>
          <w:rFonts w:ascii="Arial" w:hAnsi="Arial" w:cs="Arial"/>
          <w:sz w:val="20"/>
          <w:szCs w:val="20"/>
          <w:lang w:val="es-ES_tradnl"/>
        </w:rPr>
      </w:pPr>
      <w:r w:rsidRPr="00A433CC">
        <w:rPr>
          <w:rFonts w:ascii="Arial" w:hAnsi="Arial" w:cs="Arial"/>
          <w:sz w:val="20"/>
          <w:szCs w:val="20"/>
          <w:lang w:val="es-ES_tradnl"/>
        </w:rPr>
        <w:t xml:space="preserve">Primer día de negociación: </w:t>
      </w:r>
      <w:r w:rsidR="00202331" w:rsidRPr="00134264">
        <w:rPr>
          <w:rFonts w:ascii="Arial" w:hAnsi="Arial" w:cs="Arial"/>
          <w:sz w:val="20"/>
          <w:szCs w:val="20"/>
          <w:lang w:val="es-ES_tradnl"/>
        </w:rPr>
        <w:t xml:space="preserve">Ocurre en la primera sesión </w:t>
      </w:r>
      <w:r w:rsidR="00202331">
        <w:rPr>
          <w:rFonts w:ascii="Arial" w:hAnsi="Arial" w:cs="Arial"/>
          <w:sz w:val="20"/>
          <w:szCs w:val="20"/>
          <w:lang w:val="es-ES_tradnl"/>
        </w:rPr>
        <w:t xml:space="preserve">de </w:t>
      </w:r>
      <w:r w:rsidR="00202331" w:rsidRPr="00134264">
        <w:rPr>
          <w:rFonts w:ascii="Arial" w:hAnsi="Arial" w:cs="Arial"/>
          <w:sz w:val="20"/>
          <w:szCs w:val="20"/>
          <w:lang w:val="es-ES_tradnl"/>
        </w:rPr>
        <w:t xml:space="preserve">negociación </w:t>
      </w:r>
      <w:r w:rsidR="00202331">
        <w:rPr>
          <w:rFonts w:ascii="Arial" w:hAnsi="Arial" w:cs="Arial"/>
          <w:sz w:val="20"/>
          <w:szCs w:val="20"/>
          <w:lang w:val="es-ES_tradnl"/>
        </w:rPr>
        <w:t>del 7º trimestre</w:t>
      </w:r>
      <w:r w:rsidR="00202331" w:rsidRPr="00134264">
        <w:rPr>
          <w:rFonts w:ascii="Arial" w:hAnsi="Arial" w:cs="Arial"/>
          <w:sz w:val="20"/>
          <w:szCs w:val="20"/>
          <w:lang w:val="es-ES_tradnl"/>
        </w:rPr>
        <w:t xml:space="preserve"> anterior al </w:t>
      </w:r>
      <w:r w:rsidR="00202331">
        <w:rPr>
          <w:rFonts w:ascii="Arial" w:hAnsi="Arial" w:cs="Arial"/>
          <w:sz w:val="20"/>
          <w:szCs w:val="20"/>
          <w:lang w:val="es-ES_tradnl"/>
        </w:rPr>
        <w:t>trimestre</w:t>
      </w:r>
      <w:r w:rsidR="00202331" w:rsidRPr="00134264">
        <w:rPr>
          <w:rFonts w:ascii="Arial" w:hAnsi="Arial" w:cs="Arial"/>
          <w:sz w:val="20"/>
          <w:szCs w:val="20"/>
          <w:lang w:val="es-ES_tradnl"/>
        </w:rPr>
        <w:t xml:space="preserve"> de que se trata</w:t>
      </w:r>
      <w:r w:rsidR="00202331">
        <w:rPr>
          <w:rFonts w:ascii="Arial" w:hAnsi="Arial" w:cs="Arial"/>
          <w:sz w:val="20"/>
          <w:szCs w:val="20"/>
          <w:lang w:val="es-ES_tradnl"/>
        </w:rPr>
        <w:t>;</w:t>
      </w:r>
    </w:p>
    <w:p w14:paraId="418F47F2" w14:textId="77777777" w:rsidR="00FE6181" w:rsidRPr="00A433CC" w:rsidRDefault="00FE6181" w:rsidP="004B0E15">
      <w:pPr>
        <w:pStyle w:val="PargrafodaLista"/>
        <w:numPr>
          <w:ilvl w:val="0"/>
          <w:numId w:val="22"/>
        </w:numPr>
        <w:spacing w:before="60" w:after="60"/>
        <w:jc w:val="both"/>
        <w:rPr>
          <w:rFonts w:ascii="Arial" w:hAnsi="Arial" w:cs="Arial"/>
          <w:sz w:val="20"/>
          <w:szCs w:val="20"/>
          <w:lang w:val="es-ES_tradnl"/>
        </w:rPr>
      </w:pPr>
      <w:r w:rsidRPr="00A433CC">
        <w:rPr>
          <w:rFonts w:ascii="Arial" w:hAnsi="Arial" w:cs="Arial"/>
          <w:sz w:val="20"/>
          <w:szCs w:val="20"/>
          <w:lang w:val="es-ES_tradnl"/>
        </w:rPr>
        <w:t xml:space="preserve">Último Día de Negociación (UDN): corresponde al primer de los siguientes días: </w:t>
      </w:r>
    </w:p>
    <w:p w14:paraId="30C7F784" w14:textId="77777777" w:rsidR="00FE6181" w:rsidRPr="00A433CC" w:rsidRDefault="00FE6181" w:rsidP="00431452">
      <w:pPr>
        <w:pStyle w:val="PargrafodaLista"/>
        <w:numPr>
          <w:ilvl w:val="0"/>
          <w:numId w:val="17"/>
        </w:numPr>
        <w:spacing w:before="60" w:after="60"/>
        <w:ind w:left="1134" w:hanging="357"/>
        <w:contextualSpacing w:val="0"/>
        <w:jc w:val="both"/>
        <w:rPr>
          <w:rFonts w:ascii="Arial" w:hAnsi="Arial" w:cs="Arial"/>
          <w:sz w:val="20"/>
          <w:szCs w:val="20"/>
          <w:lang w:val="es-ES_tradnl"/>
        </w:rPr>
      </w:pPr>
      <w:r w:rsidRPr="00A433CC">
        <w:rPr>
          <w:rFonts w:ascii="Arial" w:hAnsi="Arial" w:cs="Arial"/>
          <w:sz w:val="20"/>
          <w:szCs w:val="20"/>
          <w:lang w:val="es-ES_tradnl"/>
        </w:rPr>
        <w:t>el día de negociación anterior a la antevíspera del primer día de entrega;</w:t>
      </w:r>
    </w:p>
    <w:p w14:paraId="026F6351" w14:textId="77777777" w:rsidR="00FE6181" w:rsidRPr="00A433CC" w:rsidRDefault="00FE6181" w:rsidP="00431452">
      <w:pPr>
        <w:pStyle w:val="PargrafodaLista"/>
        <w:numPr>
          <w:ilvl w:val="0"/>
          <w:numId w:val="17"/>
        </w:numPr>
        <w:spacing w:before="60" w:after="60"/>
        <w:ind w:left="1134" w:hanging="357"/>
        <w:contextualSpacing w:val="0"/>
        <w:jc w:val="both"/>
        <w:rPr>
          <w:rFonts w:ascii="Arial" w:hAnsi="Arial" w:cs="Arial"/>
          <w:sz w:val="20"/>
          <w:szCs w:val="20"/>
          <w:lang w:val="es-ES_tradnl"/>
        </w:rPr>
      </w:pPr>
      <w:r w:rsidRPr="00A433CC">
        <w:rPr>
          <w:rFonts w:ascii="Arial" w:hAnsi="Arial" w:cs="Arial"/>
          <w:sz w:val="20"/>
          <w:szCs w:val="20"/>
          <w:lang w:val="es-ES_tradnl"/>
        </w:rPr>
        <w:t>el día de negociación anterior al UDN del primer Contrato Mes subyacente.</w:t>
      </w:r>
    </w:p>
    <w:p w14:paraId="0641BE2C" w14:textId="77777777" w:rsidR="00FE6181" w:rsidRPr="00A433CC" w:rsidRDefault="00FE6181" w:rsidP="00111276">
      <w:pPr>
        <w:pStyle w:val="PargrafodaLista"/>
        <w:numPr>
          <w:ilvl w:val="0"/>
          <w:numId w:val="22"/>
        </w:numPr>
        <w:spacing w:before="60" w:after="60"/>
        <w:jc w:val="both"/>
        <w:rPr>
          <w:rFonts w:ascii="Arial" w:hAnsi="Arial" w:cs="Arial"/>
          <w:sz w:val="20"/>
          <w:szCs w:val="20"/>
          <w:lang w:val="es-ES_tradnl"/>
        </w:rPr>
      </w:pPr>
      <w:r w:rsidRPr="00A433CC">
        <w:rPr>
          <w:rFonts w:ascii="Arial" w:hAnsi="Arial" w:cs="Arial"/>
          <w:sz w:val="20"/>
          <w:szCs w:val="20"/>
          <w:lang w:val="es-ES_tradnl"/>
        </w:rPr>
        <w:t>Primer día de entrega: tiene lugar el primer día de calendario de cada trimestre;</w:t>
      </w:r>
    </w:p>
    <w:p w14:paraId="232943C1" w14:textId="77777777" w:rsidR="00FE6181" w:rsidRPr="00A433CC" w:rsidRDefault="00FE6181" w:rsidP="00111276">
      <w:pPr>
        <w:pStyle w:val="PargrafodaLista"/>
        <w:numPr>
          <w:ilvl w:val="0"/>
          <w:numId w:val="22"/>
        </w:numPr>
        <w:spacing w:before="60" w:after="60"/>
        <w:jc w:val="both"/>
        <w:rPr>
          <w:rFonts w:ascii="Arial" w:hAnsi="Arial" w:cs="Arial"/>
          <w:sz w:val="20"/>
          <w:szCs w:val="20"/>
          <w:lang w:val="es-ES_tradnl"/>
        </w:rPr>
      </w:pPr>
      <w:r w:rsidRPr="00A433CC">
        <w:rPr>
          <w:rFonts w:ascii="Arial" w:hAnsi="Arial" w:cs="Arial"/>
          <w:sz w:val="20"/>
          <w:szCs w:val="20"/>
          <w:lang w:val="es-ES_tradnl"/>
        </w:rPr>
        <w:t>Último día de entrega: tiene lugar el último día de calendario de cada trimestre;</w:t>
      </w:r>
    </w:p>
    <w:p w14:paraId="0118FC34" w14:textId="77777777" w:rsidR="00FE6181" w:rsidRPr="00A433CC" w:rsidRDefault="00FE6181" w:rsidP="00111276">
      <w:pPr>
        <w:pStyle w:val="PargrafodaLista"/>
        <w:numPr>
          <w:ilvl w:val="0"/>
          <w:numId w:val="22"/>
        </w:numPr>
        <w:spacing w:before="60" w:after="60"/>
        <w:jc w:val="both"/>
        <w:rPr>
          <w:rFonts w:ascii="Arial" w:hAnsi="Arial" w:cs="Arial"/>
          <w:sz w:val="20"/>
          <w:szCs w:val="20"/>
          <w:lang w:val="es-ES_tradnl"/>
        </w:rPr>
      </w:pPr>
      <w:r w:rsidRPr="00A433CC">
        <w:rPr>
          <w:rFonts w:ascii="Arial" w:hAnsi="Arial" w:cs="Arial"/>
          <w:sz w:val="20"/>
          <w:szCs w:val="20"/>
          <w:lang w:val="es-ES_tradnl"/>
        </w:rPr>
        <w:t>Período de Entrega: cada uno de los trimestres de calendario, con inicio a las 00:00 h. del primer día de entrega y término a las 24:00 h. del último día de entrega.</w:t>
      </w:r>
    </w:p>
    <w:p w14:paraId="36900ADB" w14:textId="77777777" w:rsidR="0012517E" w:rsidRDefault="00914527" w:rsidP="00FE6181">
      <w:pPr>
        <w:pStyle w:val="PargrafodaLista"/>
        <w:spacing w:before="60" w:after="60"/>
        <w:ind w:left="426" w:hanging="426"/>
        <w:contextualSpacing w:val="0"/>
        <w:jc w:val="both"/>
        <w:rPr>
          <w:rFonts w:ascii="Arial" w:hAnsi="Arial" w:cs="Arial"/>
          <w:sz w:val="20"/>
          <w:szCs w:val="20"/>
          <w:lang w:val="es-ES_tradnl"/>
        </w:rPr>
      </w:pPr>
      <w:r>
        <w:rPr>
          <w:rFonts w:ascii="Arial" w:hAnsi="Arial" w:cs="Arial"/>
          <w:sz w:val="20"/>
          <w:szCs w:val="20"/>
          <w:lang w:val="es-ES_tradnl"/>
        </w:rPr>
        <w:t>3</w:t>
      </w:r>
      <w:r w:rsidR="00FE6181" w:rsidRPr="00FE6181">
        <w:rPr>
          <w:rFonts w:ascii="Arial" w:hAnsi="Arial" w:cs="Arial"/>
          <w:sz w:val="20"/>
          <w:szCs w:val="20"/>
          <w:lang w:val="es-ES_tradnl"/>
        </w:rPr>
        <w:t>.</w:t>
      </w:r>
      <w:r w:rsidR="00FE6181" w:rsidRPr="00FE6181">
        <w:rPr>
          <w:rFonts w:ascii="Arial" w:hAnsi="Arial" w:cs="Arial"/>
          <w:sz w:val="20"/>
          <w:szCs w:val="20"/>
          <w:lang w:val="es-ES_tradnl"/>
        </w:rPr>
        <w:tab/>
        <w:t xml:space="preserve">Atendiendo al proceso de Fracción </w:t>
      </w:r>
      <w:r w:rsidR="00AE3F67">
        <w:rPr>
          <w:rFonts w:ascii="Arial" w:hAnsi="Arial" w:cs="Arial"/>
          <w:sz w:val="20"/>
          <w:szCs w:val="20"/>
          <w:lang w:val="es-ES_tradnl"/>
        </w:rPr>
        <w:t>(</w:t>
      </w:r>
      <w:proofErr w:type="spellStart"/>
      <w:r w:rsidR="00AE3F67" w:rsidRPr="00AE3F67">
        <w:rPr>
          <w:rFonts w:ascii="Arial" w:hAnsi="Arial" w:cs="Arial"/>
          <w:i/>
          <w:sz w:val="20"/>
          <w:szCs w:val="20"/>
          <w:lang w:val="es-ES_tradnl"/>
        </w:rPr>
        <w:t>Cascading</w:t>
      </w:r>
      <w:proofErr w:type="spellEnd"/>
      <w:r w:rsidR="00AE3F67">
        <w:rPr>
          <w:rFonts w:ascii="Arial" w:hAnsi="Arial" w:cs="Arial"/>
          <w:sz w:val="20"/>
          <w:szCs w:val="20"/>
          <w:lang w:val="es-ES_tradnl"/>
        </w:rPr>
        <w:t xml:space="preserve">) </w:t>
      </w:r>
      <w:r w:rsidR="00FE6181" w:rsidRPr="00FE6181">
        <w:rPr>
          <w:rFonts w:ascii="Arial" w:hAnsi="Arial" w:cs="Arial"/>
          <w:sz w:val="20"/>
          <w:szCs w:val="20"/>
          <w:lang w:val="es-ES_tradnl"/>
        </w:rPr>
        <w:t xml:space="preserve">de Posiciones descrito en la Cláusula siguiente, el Período de Entrega definido para el Contrato Futuros MIBEL PTEL Base Financieros Trimestral debe entenderse </w:t>
      </w:r>
      <w:r w:rsidR="00965ABB" w:rsidRPr="00FE6181">
        <w:rPr>
          <w:rFonts w:ascii="Arial" w:hAnsi="Arial" w:cs="Arial"/>
          <w:sz w:val="20"/>
          <w:szCs w:val="20"/>
          <w:lang w:val="es-ES_tradnl"/>
        </w:rPr>
        <w:t>únicamente</w:t>
      </w:r>
      <w:r w:rsidR="00FE6181" w:rsidRPr="00FE6181">
        <w:rPr>
          <w:rFonts w:ascii="Arial" w:hAnsi="Arial" w:cs="Arial"/>
          <w:sz w:val="20"/>
          <w:szCs w:val="20"/>
          <w:lang w:val="es-ES_tradnl"/>
        </w:rPr>
        <w:t xml:space="preserve"> como un Período de Entrega nocional.</w:t>
      </w:r>
    </w:p>
    <w:p w14:paraId="4EFD38FB" w14:textId="77777777" w:rsidR="00A043AC" w:rsidRDefault="00A043AC" w:rsidP="00CF5FED">
      <w:pPr>
        <w:spacing w:before="60" w:after="60"/>
        <w:jc w:val="both"/>
        <w:rPr>
          <w:rFonts w:ascii="Arial" w:hAnsi="Arial" w:cs="Arial"/>
          <w:sz w:val="20"/>
          <w:szCs w:val="20"/>
          <w:lang w:val="es-ES_tradnl"/>
        </w:rPr>
      </w:pPr>
    </w:p>
    <w:p w14:paraId="637FD278" w14:textId="77777777" w:rsidR="00965ABB" w:rsidRPr="00965ABB" w:rsidRDefault="00965ABB" w:rsidP="00965ABB">
      <w:pPr>
        <w:spacing w:before="60" w:after="60"/>
        <w:jc w:val="both"/>
        <w:rPr>
          <w:rFonts w:ascii="Arial" w:hAnsi="Arial" w:cs="Arial"/>
          <w:b/>
          <w:color w:val="92D050"/>
          <w:sz w:val="20"/>
          <w:szCs w:val="28"/>
          <w:lang w:val="es-ES_tradnl"/>
        </w:rPr>
      </w:pPr>
      <w:r w:rsidRPr="00965ABB">
        <w:rPr>
          <w:rFonts w:ascii="Arial" w:hAnsi="Arial" w:cs="Arial"/>
          <w:b/>
          <w:color w:val="92D050"/>
          <w:sz w:val="20"/>
          <w:szCs w:val="28"/>
          <w:lang w:val="es-ES_tradnl"/>
        </w:rPr>
        <w:t xml:space="preserve">Cláusula </w:t>
      </w:r>
      <w:r w:rsidR="00AE3F67">
        <w:rPr>
          <w:rFonts w:ascii="Arial" w:hAnsi="Arial" w:cs="Arial"/>
          <w:b/>
          <w:color w:val="92D050"/>
          <w:sz w:val="20"/>
          <w:szCs w:val="28"/>
          <w:lang w:val="es-ES_tradnl"/>
        </w:rPr>
        <w:t>10</w:t>
      </w:r>
      <w:r w:rsidRPr="00965ABB">
        <w:rPr>
          <w:rFonts w:ascii="Arial" w:hAnsi="Arial" w:cs="Arial"/>
          <w:b/>
          <w:color w:val="92D050"/>
          <w:sz w:val="20"/>
          <w:szCs w:val="28"/>
          <w:lang w:val="es-ES_tradnl"/>
        </w:rPr>
        <w:t xml:space="preserve">ª – Contratos de Futuros MIBEL PTEL Base Financieros Trimestre - Vencimiento por Fracción </w:t>
      </w:r>
      <w:r w:rsidR="00AE3F67">
        <w:rPr>
          <w:rFonts w:ascii="Arial" w:hAnsi="Arial" w:cs="Arial"/>
          <w:b/>
          <w:color w:val="92D050"/>
          <w:sz w:val="20"/>
          <w:szCs w:val="28"/>
          <w:lang w:val="es-ES_tradnl"/>
        </w:rPr>
        <w:t>(</w:t>
      </w:r>
      <w:proofErr w:type="spellStart"/>
      <w:r w:rsidR="00AE3F67" w:rsidRPr="00AE3F67">
        <w:rPr>
          <w:rFonts w:ascii="Arial" w:hAnsi="Arial" w:cs="Arial"/>
          <w:b/>
          <w:i/>
          <w:color w:val="92D050"/>
          <w:sz w:val="20"/>
          <w:szCs w:val="28"/>
          <w:lang w:val="es-ES_tradnl"/>
        </w:rPr>
        <w:t>Cascading</w:t>
      </w:r>
      <w:proofErr w:type="spellEnd"/>
      <w:r w:rsidR="00AE3F67">
        <w:rPr>
          <w:rFonts w:ascii="Arial" w:hAnsi="Arial" w:cs="Arial"/>
          <w:b/>
          <w:color w:val="92D050"/>
          <w:sz w:val="20"/>
          <w:szCs w:val="28"/>
          <w:lang w:val="es-ES_tradnl"/>
        </w:rPr>
        <w:t xml:space="preserve">) </w:t>
      </w:r>
      <w:r w:rsidRPr="00965ABB">
        <w:rPr>
          <w:rFonts w:ascii="Arial" w:hAnsi="Arial" w:cs="Arial"/>
          <w:b/>
          <w:color w:val="92D050"/>
          <w:sz w:val="20"/>
          <w:szCs w:val="28"/>
          <w:lang w:val="es-ES_tradnl"/>
        </w:rPr>
        <w:t>de Posiciones</w:t>
      </w:r>
    </w:p>
    <w:p w14:paraId="39BA24E7" w14:textId="77777777" w:rsidR="00965ABB" w:rsidRPr="00965ABB" w:rsidRDefault="00965ABB" w:rsidP="00965ABB">
      <w:pPr>
        <w:pStyle w:val="PargrafodaLista"/>
        <w:spacing w:before="60" w:after="60"/>
        <w:ind w:left="426" w:hanging="426"/>
        <w:contextualSpacing w:val="0"/>
        <w:jc w:val="both"/>
        <w:rPr>
          <w:rFonts w:ascii="Arial" w:hAnsi="Arial" w:cs="Arial"/>
          <w:sz w:val="20"/>
          <w:szCs w:val="20"/>
          <w:lang w:val="es-ES_tradnl"/>
        </w:rPr>
      </w:pPr>
      <w:r w:rsidRPr="00965ABB">
        <w:rPr>
          <w:rFonts w:ascii="Arial" w:hAnsi="Arial" w:cs="Arial"/>
          <w:sz w:val="20"/>
          <w:szCs w:val="20"/>
          <w:lang w:val="es-ES_tradnl"/>
        </w:rPr>
        <w:t>1.</w:t>
      </w:r>
      <w:r w:rsidRPr="00965ABB">
        <w:rPr>
          <w:rFonts w:ascii="Arial" w:hAnsi="Arial" w:cs="Arial"/>
          <w:sz w:val="20"/>
          <w:szCs w:val="20"/>
          <w:lang w:val="es-ES_tradnl"/>
        </w:rPr>
        <w:tab/>
        <w:t xml:space="preserve">El vencimiento de los Contratos MIBEL PTEL Base Financieros Trimestre se procesa mediante la Fracción </w:t>
      </w:r>
      <w:r w:rsidR="00AE3F67">
        <w:rPr>
          <w:rFonts w:ascii="Arial" w:hAnsi="Arial" w:cs="Arial"/>
          <w:sz w:val="20"/>
          <w:szCs w:val="20"/>
          <w:lang w:val="es-ES_tradnl"/>
        </w:rPr>
        <w:t>(</w:t>
      </w:r>
      <w:proofErr w:type="spellStart"/>
      <w:r w:rsidR="00AE3F67" w:rsidRPr="00AE3F67">
        <w:rPr>
          <w:rFonts w:ascii="Arial" w:hAnsi="Arial" w:cs="Arial"/>
          <w:i/>
          <w:sz w:val="20"/>
          <w:szCs w:val="20"/>
          <w:lang w:val="es-ES_tradnl"/>
        </w:rPr>
        <w:t>Cascading</w:t>
      </w:r>
      <w:proofErr w:type="spellEnd"/>
      <w:r w:rsidR="00AE3F67">
        <w:rPr>
          <w:rFonts w:ascii="Arial" w:hAnsi="Arial" w:cs="Arial"/>
          <w:sz w:val="20"/>
          <w:szCs w:val="20"/>
          <w:lang w:val="es-ES_tradnl"/>
        </w:rPr>
        <w:t xml:space="preserve">) </w:t>
      </w:r>
      <w:r w:rsidRPr="00965ABB">
        <w:rPr>
          <w:rFonts w:ascii="Arial" w:hAnsi="Arial" w:cs="Arial"/>
          <w:sz w:val="20"/>
          <w:szCs w:val="20"/>
          <w:lang w:val="es-ES_tradnl"/>
        </w:rPr>
        <w:t>de las Posiciones de un Contrato Trimestre en posiciones de volumen idéntico en los tres Contratos Mes subyacentes, las cuales serán plenamente fungibles con las Posiciones ya existentes en los respectivos Contratos Mes.</w:t>
      </w:r>
    </w:p>
    <w:p w14:paraId="35268D8E" w14:textId="77777777" w:rsidR="00965ABB" w:rsidRPr="00965ABB" w:rsidRDefault="00965ABB" w:rsidP="00965ABB">
      <w:pPr>
        <w:pStyle w:val="PargrafodaLista"/>
        <w:spacing w:before="60" w:after="60"/>
        <w:ind w:left="426" w:hanging="426"/>
        <w:contextualSpacing w:val="0"/>
        <w:jc w:val="both"/>
        <w:rPr>
          <w:rFonts w:ascii="Arial" w:hAnsi="Arial" w:cs="Arial"/>
          <w:sz w:val="20"/>
          <w:szCs w:val="20"/>
          <w:lang w:val="es-ES_tradnl"/>
        </w:rPr>
      </w:pPr>
      <w:r w:rsidRPr="00965ABB">
        <w:rPr>
          <w:rFonts w:ascii="Arial" w:hAnsi="Arial" w:cs="Arial"/>
          <w:sz w:val="20"/>
          <w:szCs w:val="20"/>
          <w:lang w:val="es-ES_tradnl"/>
        </w:rPr>
        <w:t>2.</w:t>
      </w:r>
      <w:r w:rsidRPr="00965ABB">
        <w:rPr>
          <w:rFonts w:ascii="Arial" w:hAnsi="Arial" w:cs="Arial"/>
          <w:sz w:val="20"/>
          <w:szCs w:val="20"/>
          <w:lang w:val="es-ES_tradnl"/>
        </w:rPr>
        <w:tab/>
        <w:t>Las Posiciones en el Contrato MIBEL PTEL Base Financieros Trimestre original se sustituyen por nuevas posiciones en los Contratos MIBEL PTEL Base Financieros Mes subyacentes, las cuales adquieren el Precio de Referencia de Negociación (PRN) del respectivo Contrato Trimestre en el UDN.</w:t>
      </w:r>
    </w:p>
    <w:p w14:paraId="2311600C" w14:textId="77777777" w:rsidR="00965ABB" w:rsidRDefault="00965ABB" w:rsidP="00965ABB">
      <w:pPr>
        <w:pStyle w:val="PargrafodaLista"/>
        <w:spacing w:before="60" w:after="60"/>
        <w:ind w:left="426" w:hanging="426"/>
        <w:contextualSpacing w:val="0"/>
        <w:jc w:val="both"/>
        <w:rPr>
          <w:rFonts w:ascii="Arial" w:hAnsi="Arial" w:cs="Arial"/>
          <w:sz w:val="20"/>
          <w:szCs w:val="20"/>
          <w:lang w:val="es-ES_tradnl"/>
        </w:rPr>
      </w:pPr>
      <w:r w:rsidRPr="00965ABB">
        <w:rPr>
          <w:rFonts w:ascii="Arial" w:hAnsi="Arial" w:cs="Arial"/>
          <w:sz w:val="20"/>
          <w:szCs w:val="20"/>
          <w:lang w:val="es-ES_tradnl"/>
        </w:rPr>
        <w:t>3.</w:t>
      </w:r>
      <w:r w:rsidRPr="00965ABB">
        <w:rPr>
          <w:rFonts w:ascii="Arial" w:hAnsi="Arial" w:cs="Arial"/>
          <w:sz w:val="20"/>
          <w:szCs w:val="20"/>
          <w:lang w:val="es-ES_tradnl"/>
        </w:rPr>
        <w:tab/>
      </w:r>
      <w:r w:rsidR="00AE3F67">
        <w:rPr>
          <w:rFonts w:ascii="Arial" w:hAnsi="Arial" w:cs="Arial"/>
          <w:sz w:val="20"/>
          <w:szCs w:val="20"/>
          <w:lang w:val="es-ES_tradnl"/>
        </w:rPr>
        <w:t>El procedimiento</w:t>
      </w:r>
      <w:r w:rsidRPr="00965ABB">
        <w:rPr>
          <w:rFonts w:ascii="Arial" w:hAnsi="Arial" w:cs="Arial"/>
          <w:sz w:val="20"/>
          <w:szCs w:val="20"/>
          <w:lang w:val="es-ES_tradnl"/>
        </w:rPr>
        <w:t xml:space="preserve"> </w:t>
      </w:r>
      <w:r w:rsidR="00AE3F67">
        <w:rPr>
          <w:rFonts w:ascii="Arial" w:hAnsi="Arial" w:cs="Arial"/>
          <w:sz w:val="20"/>
          <w:szCs w:val="20"/>
          <w:lang w:val="es-ES_tradnl"/>
        </w:rPr>
        <w:t xml:space="preserve">de fracción </w:t>
      </w:r>
      <w:r w:rsidRPr="00965ABB">
        <w:rPr>
          <w:rFonts w:ascii="Arial" w:hAnsi="Arial" w:cs="Arial"/>
          <w:sz w:val="20"/>
          <w:szCs w:val="20"/>
          <w:lang w:val="es-ES_tradnl"/>
        </w:rPr>
        <w:t>referid</w:t>
      </w:r>
      <w:r w:rsidR="00AE3F67">
        <w:rPr>
          <w:rFonts w:ascii="Arial" w:hAnsi="Arial" w:cs="Arial"/>
          <w:sz w:val="20"/>
          <w:szCs w:val="20"/>
          <w:lang w:val="es-ES_tradnl"/>
        </w:rPr>
        <w:t>o</w:t>
      </w:r>
      <w:r w:rsidRPr="00965ABB">
        <w:rPr>
          <w:rFonts w:ascii="Arial" w:hAnsi="Arial" w:cs="Arial"/>
          <w:sz w:val="20"/>
          <w:szCs w:val="20"/>
          <w:lang w:val="es-ES_tradnl"/>
        </w:rPr>
        <w:t xml:space="preserve"> en el número anterior se procesa en el UDN, después del término de los procedimientos de compensación y liquidación por OMIClear.</w:t>
      </w:r>
    </w:p>
    <w:p w14:paraId="6C9E6F91" w14:textId="77777777" w:rsidR="00965ABB" w:rsidRDefault="00965ABB" w:rsidP="00CF5FED">
      <w:pPr>
        <w:spacing w:before="60" w:after="60"/>
        <w:jc w:val="both"/>
        <w:rPr>
          <w:rFonts w:ascii="Arial" w:hAnsi="Arial" w:cs="Arial"/>
          <w:sz w:val="20"/>
          <w:szCs w:val="20"/>
          <w:lang w:val="es-ES_tradnl"/>
        </w:rPr>
      </w:pPr>
    </w:p>
    <w:p w14:paraId="152B0B42" w14:textId="77777777" w:rsidR="00965ABB" w:rsidRPr="00965ABB" w:rsidRDefault="00965ABB" w:rsidP="00965ABB">
      <w:pPr>
        <w:spacing w:before="60" w:after="60"/>
        <w:jc w:val="both"/>
        <w:rPr>
          <w:rFonts w:ascii="Arial" w:hAnsi="Arial" w:cs="Arial"/>
          <w:b/>
          <w:color w:val="92D050"/>
          <w:sz w:val="20"/>
          <w:szCs w:val="28"/>
          <w:lang w:val="es-ES_tradnl"/>
        </w:rPr>
      </w:pPr>
      <w:r w:rsidRPr="00965ABB">
        <w:rPr>
          <w:rFonts w:ascii="Arial" w:hAnsi="Arial" w:cs="Arial"/>
          <w:b/>
          <w:color w:val="92D050"/>
          <w:sz w:val="20"/>
          <w:szCs w:val="28"/>
          <w:lang w:val="es-ES_tradnl"/>
        </w:rPr>
        <w:t xml:space="preserve">Cláusula </w:t>
      </w:r>
      <w:r w:rsidR="00AE3F67">
        <w:rPr>
          <w:rFonts w:ascii="Arial" w:hAnsi="Arial" w:cs="Arial"/>
          <w:b/>
          <w:color w:val="92D050"/>
          <w:sz w:val="20"/>
          <w:szCs w:val="28"/>
          <w:lang w:val="es-ES_tradnl"/>
        </w:rPr>
        <w:t>11</w:t>
      </w:r>
      <w:r w:rsidRPr="00965ABB">
        <w:rPr>
          <w:rFonts w:ascii="Arial" w:hAnsi="Arial" w:cs="Arial"/>
          <w:b/>
          <w:color w:val="92D050"/>
          <w:sz w:val="20"/>
          <w:szCs w:val="28"/>
          <w:lang w:val="es-ES_tradnl"/>
        </w:rPr>
        <w:t>ª – Contratos de Futuros MIBEL PTEL Base Financieros Año - Período de Negociación y Período de Entrega</w:t>
      </w:r>
    </w:p>
    <w:p w14:paraId="2F5BA6F0" w14:textId="574B338C" w:rsidR="00965ABB" w:rsidRPr="00965ABB" w:rsidRDefault="00965ABB" w:rsidP="00965ABB">
      <w:pPr>
        <w:pStyle w:val="PargrafodaLista"/>
        <w:spacing w:before="60" w:after="60"/>
        <w:ind w:left="426" w:hanging="426"/>
        <w:contextualSpacing w:val="0"/>
        <w:jc w:val="both"/>
        <w:rPr>
          <w:rFonts w:ascii="Arial" w:hAnsi="Arial" w:cs="Arial"/>
          <w:sz w:val="20"/>
          <w:szCs w:val="20"/>
          <w:lang w:val="es-ES_tradnl"/>
        </w:rPr>
      </w:pPr>
      <w:r w:rsidRPr="00965ABB">
        <w:rPr>
          <w:rFonts w:ascii="Arial" w:hAnsi="Arial" w:cs="Arial"/>
          <w:sz w:val="20"/>
          <w:szCs w:val="20"/>
          <w:lang w:val="es-ES_tradnl"/>
        </w:rPr>
        <w:t>1.</w:t>
      </w:r>
      <w:r w:rsidRPr="00965ABB">
        <w:rPr>
          <w:rFonts w:ascii="Arial" w:hAnsi="Arial" w:cs="Arial"/>
          <w:sz w:val="20"/>
          <w:szCs w:val="20"/>
          <w:lang w:val="es-ES_tradnl"/>
        </w:rPr>
        <w:tab/>
      </w:r>
      <w:r w:rsidR="00202331">
        <w:rPr>
          <w:rFonts w:ascii="Arial" w:hAnsi="Arial" w:cs="Arial"/>
          <w:sz w:val="20"/>
          <w:szCs w:val="20"/>
          <w:lang w:val="es-ES_tradnl"/>
        </w:rPr>
        <w:t>A</w:t>
      </w:r>
      <w:r w:rsidR="00202331" w:rsidRPr="00952C3C">
        <w:rPr>
          <w:rFonts w:ascii="Arial" w:hAnsi="Arial" w:cs="Arial"/>
          <w:sz w:val="20"/>
          <w:szCs w:val="20"/>
          <w:lang w:val="es-ES_tradnl"/>
        </w:rPr>
        <w:t xml:space="preserve"> todo momento </w:t>
      </w:r>
      <w:r w:rsidR="00202331">
        <w:rPr>
          <w:rFonts w:ascii="Arial" w:hAnsi="Arial" w:cs="Arial"/>
          <w:sz w:val="20"/>
          <w:szCs w:val="20"/>
          <w:lang w:val="es-ES_tradnl"/>
        </w:rPr>
        <w:t xml:space="preserve">están abiertos a la negociación </w:t>
      </w:r>
      <w:r w:rsidR="00660452">
        <w:rPr>
          <w:rFonts w:ascii="Arial" w:hAnsi="Arial" w:cs="Arial"/>
          <w:sz w:val="20"/>
          <w:szCs w:val="20"/>
          <w:lang w:val="es-ES_tradnl"/>
        </w:rPr>
        <w:t>9</w:t>
      </w:r>
      <w:r w:rsidR="00202331">
        <w:rPr>
          <w:rFonts w:ascii="Arial" w:hAnsi="Arial" w:cs="Arial"/>
          <w:sz w:val="20"/>
          <w:szCs w:val="20"/>
          <w:lang w:val="es-ES_tradnl"/>
        </w:rPr>
        <w:t xml:space="preserve"> o </w:t>
      </w:r>
      <w:r w:rsidR="00660452">
        <w:rPr>
          <w:rFonts w:ascii="Arial" w:hAnsi="Arial" w:cs="Arial"/>
          <w:sz w:val="20"/>
          <w:szCs w:val="20"/>
          <w:lang w:val="es-ES_tradnl"/>
        </w:rPr>
        <w:t>10</w:t>
      </w:r>
      <w:r w:rsidR="00202331" w:rsidRPr="00952C3C">
        <w:rPr>
          <w:rFonts w:ascii="Arial" w:hAnsi="Arial" w:cs="Arial"/>
          <w:sz w:val="20"/>
          <w:szCs w:val="20"/>
          <w:lang w:val="es-ES_tradnl"/>
        </w:rPr>
        <w:t xml:space="preserve"> contratos</w:t>
      </w:r>
      <w:r w:rsidR="00202331">
        <w:rPr>
          <w:rFonts w:ascii="Arial" w:hAnsi="Arial" w:cs="Arial"/>
          <w:sz w:val="20"/>
          <w:szCs w:val="20"/>
          <w:lang w:val="es-ES_tradnl"/>
        </w:rPr>
        <w:t xml:space="preserve"> de año cuyo</w:t>
      </w:r>
      <w:r w:rsidR="00202331" w:rsidRPr="00952C3C">
        <w:rPr>
          <w:rFonts w:ascii="Arial" w:hAnsi="Arial" w:cs="Arial"/>
          <w:sz w:val="20"/>
          <w:szCs w:val="20"/>
          <w:lang w:val="es-ES_tradnl"/>
        </w:rPr>
        <w:t xml:space="preserve"> </w:t>
      </w:r>
      <w:r w:rsidR="00202331">
        <w:rPr>
          <w:rFonts w:ascii="Arial" w:hAnsi="Arial" w:cs="Arial"/>
          <w:sz w:val="20"/>
          <w:szCs w:val="20"/>
          <w:lang w:val="es-ES_tradnl"/>
        </w:rPr>
        <w:t xml:space="preserve">los períodos </w:t>
      </w:r>
      <w:proofErr w:type="gramStart"/>
      <w:r w:rsidR="00202331">
        <w:rPr>
          <w:rFonts w:ascii="Arial" w:hAnsi="Arial" w:cs="Arial"/>
          <w:sz w:val="20"/>
          <w:szCs w:val="20"/>
          <w:lang w:val="es-ES_tradnl"/>
        </w:rPr>
        <w:t xml:space="preserve">de </w:t>
      </w:r>
      <w:r w:rsidR="00202331" w:rsidRPr="00952C3C">
        <w:rPr>
          <w:rFonts w:ascii="Arial" w:hAnsi="Arial" w:cs="Arial"/>
          <w:sz w:val="20"/>
          <w:szCs w:val="20"/>
          <w:lang w:val="es-ES_tradnl"/>
        </w:rPr>
        <w:t xml:space="preserve"> entrega</w:t>
      </w:r>
      <w:proofErr w:type="gramEnd"/>
      <w:r w:rsidR="00202331" w:rsidRPr="00952C3C">
        <w:rPr>
          <w:rFonts w:ascii="Arial" w:hAnsi="Arial" w:cs="Arial"/>
          <w:sz w:val="20"/>
          <w:szCs w:val="20"/>
          <w:lang w:val="es-ES_tradnl"/>
        </w:rPr>
        <w:t xml:space="preserve"> corresponden </w:t>
      </w:r>
      <w:r w:rsidR="00202331">
        <w:rPr>
          <w:rFonts w:ascii="Arial" w:hAnsi="Arial" w:cs="Arial"/>
          <w:sz w:val="20"/>
          <w:szCs w:val="20"/>
          <w:lang w:val="es-ES_tradnl"/>
        </w:rPr>
        <w:t xml:space="preserve">a </w:t>
      </w:r>
      <w:r w:rsidR="00660452">
        <w:rPr>
          <w:rFonts w:ascii="Arial" w:hAnsi="Arial" w:cs="Arial"/>
          <w:sz w:val="20"/>
          <w:szCs w:val="20"/>
          <w:lang w:val="es-ES_tradnl"/>
        </w:rPr>
        <w:t>9</w:t>
      </w:r>
      <w:r w:rsidR="00202331">
        <w:rPr>
          <w:rFonts w:ascii="Arial" w:hAnsi="Arial" w:cs="Arial"/>
          <w:sz w:val="20"/>
          <w:szCs w:val="20"/>
          <w:lang w:val="es-ES_tradnl"/>
        </w:rPr>
        <w:t xml:space="preserve"> o </w:t>
      </w:r>
      <w:r w:rsidR="00660452">
        <w:rPr>
          <w:rFonts w:ascii="Arial" w:hAnsi="Arial" w:cs="Arial"/>
          <w:sz w:val="20"/>
          <w:szCs w:val="20"/>
          <w:lang w:val="es-ES_tradnl"/>
        </w:rPr>
        <w:t>10</w:t>
      </w:r>
      <w:r w:rsidR="00202331">
        <w:rPr>
          <w:rFonts w:ascii="Arial" w:hAnsi="Arial" w:cs="Arial"/>
          <w:sz w:val="20"/>
          <w:szCs w:val="20"/>
          <w:lang w:val="es-ES_tradnl"/>
        </w:rPr>
        <w:t xml:space="preserve"> años</w:t>
      </w:r>
      <w:r w:rsidR="00202331" w:rsidRPr="00952C3C">
        <w:rPr>
          <w:rFonts w:ascii="Arial" w:hAnsi="Arial" w:cs="Arial"/>
          <w:sz w:val="20"/>
          <w:szCs w:val="20"/>
          <w:lang w:val="es-ES_tradnl"/>
        </w:rPr>
        <w:t xml:space="preserve"> más </w:t>
      </w:r>
      <w:r w:rsidR="00202331">
        <w:rPr>
          <w:rFonts w:ascii="Arial" w:hAnsi="Arial" w:cs="Arial"/>
          <w:sz w:val="20"/>
          <w:szCs w:val="20"/>
          <w:lang w:val="es-ES_tradnl"/>
        </w:rPr>
        <w:t xml:space="preserve">cercanos </w:t>
      </w:r>
      <w:r w:rsidR="00202331" w:rsidRPr="00952C3C">
        <w:rPr>
          <w:rFonts w:ascii="Arial" w:hAnsi="Arial" w:cs="Arial"/>
          <w:sz w:val="20"/>
          <w:szCs w:val="20"/>
          <w:lang w:val="es-ES_tradnl"/>
        </w:rPr>
        <w:t>de acuerdo con la siguiente regla</w:t>
      </w:r>
      <w:r w:rsidR="00202331">
        <w:rPr>
          <w:rFonts w:ascii="Arial" w:hAnsi="Arial" w:cs="Arial"/>
          <w:sz w:val="20"/>
          <w:szCs w:val="20"/>
          <w:lang w:val="es-ES_tradnl"/>
        </w:rPr>
        <w:t>:</w:t>
      </w:r>
    </w:p>
    <w:p w14:paraId="6A20155C" w14:textId="7B056B48" w:rsidR="00965ABB" w:rsidRPr="00A433CC" w:rsidRDefault="00965ABB" w:rsidP="00965ABB">
      <w:pPr>
        <w:pStyle w:val="PargrafodaLista"/>
        <w:numPr>
          <w:ilvl w:val="0"/>
          <w:numId w:val="14"/>
        </w:numPr>
        <w:spacing w:before="60" w:after="60"/>
        <w:jc w:val="both"/>
        <w:rPr>
          <w:rFonts w:ascii="Arial" w:hAnsi="Arial" w:cs="Arial"/>
          <w:sz w:val="20"/>
          <w:szCs w:val="20"/>
          <w:lang w:val="es-ES_tradnl"/>
        </w:rPr>
      </w:pPr>
      <w:r w:rsidRPr="00A433CC">
        <w:rPr>
          <w:rFonts w:ascii="Arial" w:hAnsi="Arial" w:cs="Arial"/>
          <w:sz w:val="20"/>
          <w:szCs w:val="20"/>
          <w:lang w:val="es-ES_tradnl"/>
        </w:rPr>
        <w:t xml:space="preserve">Primer Día de Negociación: </w:t>
      </w:r>
      <w:r w:rsidR="00202331" w:rsidRPr="00134264">
        <w:rPr>
          <w:rFonts w:ascii="Arial" w:hAnsi="Arial" w:cs="Arial"/>
          <w:sz w:val="20"/>
          <w:szCs w:val="20"/>
          <w:lang w:val="es-ES_tradnl"/>
        </w:rPr>
        <w:t xml:space="preserve">Ocurre en la primera sesión </w:t>
      </w:r>
      <w:r w:rsidR="00202331">
        <w:rPr>
          <w:rFonts w:ascii="Arial" w:hAnsi="Arial" w:cs="Arial"/>
          <w:sz w:val="20"/>
          <w:szCs w:val="20"/>
          <w:lang w:val="es-ES_tradnl"/>
        </w:rPr>
        <w:t xml:space="preserve">de </w:t>
      </w:r>
      <w:r w:rsidR="00202331" w:rsidRPr="00134264">
        <w:rPr>
          <w:rFonts w:ascii="Arial" w:hAnsi="Arial" w:cs="Arial"/>
          <w:sz w:val="20"/>
          <w:szCs w:val="20"/>
          <w:lang w:val="es-ES_tradnl"/>
        </w:rPr>
        <w:t xml:space="preserve">negociación </w:t>
      </w:r>
      <w:r w:rsidR="00202331">
        <w:rPr>
          <w:rFonts w:ascii="Arial" w:hAnsi="Arial" w:cs="Arial"/>
          <w:sz w:val="20"/>
          <w:szCs w:val="20"/>
          <w:lang w:val="es-ES_tradnl"/>
        </w:rPr>
        <w:t xml:space="preserve">del </w:t>
      </w:r>
      <w:r w:rsidR="00660452">
        <w:rPr>
          <w:rFonts w:ascii="Arial" w:hAnsi="Arial" w:cs="Arial"/>
          <w:sz w:val="20"/>
          <w:szCs w:val="20"/>
          <w:lang w:val="es-ES_tradnl"/>
        </w:rPr>
        <w:t>10</w:t>
      </w:r>
      <w:r w:rsidR="00202331">
        <w:rPr>
          <w:rFonts w:ascii="Arial" w:hAnsi="Arial" w:cs="Arial"/>
          <w:sz w:val="20"/>
          <w:szCs w:val="20"/>
          <w:lang w:val="es-ES_tradnl"/>
        </w:rPr>
        <w:t>º año</w:t>
      </w:r>
      <w:r w:rsidR="00202331" w:rsidRPr="00134264">
        <w:rPr>
          <w:rFonts w:ascii="Arial" w:hAnsi="Arial" w:cs="Arial"/>
          <w:sz w:val="20"/>
          <w:szCs w:val="20"/>
          <w:lang w:val="es-ES_tradnl"/>
        </w:rPr>
        <w:t xml:space="preserve"> anterior al </w:t>
      </w:r>
      <w:r w:rsidR="00202331">
        <w:rPr>
          <w:rFonts w:ascii="Arial" w:hAnsi="Arial" w:cs="Arial"/>
          <w:sz w:val="20"/>
          <w:szCs w:val="20"/>
          <w:lang w:val="es-ES_tradnl"/>
        </w:rPr>
        <w:t>año del período de entrega</w:t>
      </w:r>
      <w:r w:rsidRPr="00A433CC">
        <w:rPr>
          <w:rFonts w:ascii="Arial" w:hAnsi="Arial" w:cs="Arial"/>
          <w:sz w:val="20"/>
          <w:szCs w:val="20"/>
          <w:lang w:val="es-ES_tradnl"/>
        </w:rPr>
        <w:t>;</w:t>
      </w:r>
    </w:p>
    <w:p w14:paraId="6BE051E5" w14:textId="77777777" w:rsidR="00965ABB" w:rsidRPr="00A433CC" w:rsidRDefault="00965ABB" w:rsidP="00965ABB">
      <w:pPr>
        <w:pStyle w:val="PargrafodaLista"/>
        <w:numPr>
          <w:ilvl w:val="0"/>
          <w:numId w:val="14"/>
        </w:numPr>
        <w:spacing w:before="60" w:after="60"/>
        <w:jc w:val="both"/>
        <w:rPr>
          <w:rFonts w:ascii="Arial" w:hAnsi="Arial" w:cs="Arial"/>
          <w:sz w:val="20"/>
          <w:szCs w:val="20"/>
          <w:lang w:val="es-ES_tradnl"/>
        </w:rPr>
      </w:pPr>
      <w:r w:rsidRPr="00A433CC">
        <w:rPr>
          <w:rFonts w:ascii="Arial" w:hAnsi="Arial" w:cs="Arial"/>
          <w:sz w:val="20"/>
          <w:szCs w:val="20"/>
          <w:lang w:val="es-ES_tradnl"/>
        </w:rPr>
        <w:t>Último Día de Negociación (UDN): corresponde al primer de los siguientes días:</w:t>
      </w:r>
    </w:p>
    <w:p w14:paraId="17B2B87A" w14:textId="77777777" w:rsidR="00965ABB" w:rsidRPr="00A433CC" w:rsidRDefault="00965ABB" w:rsidP="00573680">
      <w:pPr>
        <w:pStyle w:val="PargrafodaLista"/>
        <w:numPr>
          <w:ilvl w:val="0"/>
          <w:numId w:val="26"/>
        </w:numPr>
        <w:spacing w:before="60" w:after="60"/>
        <w:ind w:left="1134" w:hanging="357"/>
        <w:contextualSpacing w:val="0"/>
        <w:jc w:val="both"/>
        <w:rPr>
          <w:rFonts w:ascii="Arial" w:hAnsi="Arial" w:cs="Arial"/>
          <w:sz w:val="20"/>
          <w:szCs w:val="20"/>
          <w:lang w:val="es-ES_tradnl"/>
        </w:rPr>
      </w:pPr>
      <w:r w:rsidRPr="00A433CC">
        <w:rPr>
          <w:rFonts w:ascii="Arial" w:hAnsi="Arial" w:cs="Arial"/>
          <w:sz w:val="20"/>
          <w:szCs w:val="20"/>
          <w:lang w:val="es-ES_tradnl"/>
        </w:rPr>
        <w:t>el día de negociación anterior a la antevíspera del primer día de entrega;</w:t>
      </w:r>
    </w:p>
    <w:p w14:paraId="3E5BE495" w14:textId="77777777" w:rsidR="00965ABB" w:rsidRPr="00A433CC" w:rsidRDefault="00965ABB" w:rsidP="00573680">
      <w:pPr>
        <w:pStyle w:val="PargrafodaLista"/>
        <w:numPr>
          <w:ilvl w:val="0"/>
          <w:numId w:val="26"/>
        </w:numPr>
        <w:spacing w:before="60" w:after="60"/>
        <w:ind w:left="1134" w:hanging="357"/>
        <w:contextualSpacing w:val="0"/>
        <w:jc w:val="both"/>
        <w:rPr>
          <w:rFonts w:ascii="Arial" w:hAnsi="Arial" w:cs="Arial"/>
          <w:sz w:val="20"/>
          <w:szCs w:val="20"/>
          <w:lang w:val="es-ES_tradnl"/>
        </w:rPr>
      </w:pPr>
      <w:r w:rsidRPr="00A433CC">
        <w:rPr>
          <w:rFonts w:ascii="Arial" w:hAnsi="Arial" w:cs="Arial"/>
          <w:sz w:val="20"/>
          <w:szCs w:val="20"/>
          <w:lang w:val="es-ES_tradnl"/>
        </w:rPr>
        <w:t>el día de negociación anterior al UDN del primer Contrato Mes subyacente.</w:t>
      </w:r>
    </w:p>
    <w:p w14:paraId="665CEDCF" w14:textId="77777777" w:rsidR="00965ABB" w:rsidRPr="00A433CC" w:rsidRDefault="00965ABB" w:rsidP="00573680">
      <w:pPr>
        <w:pStyle w:val="PargrafodaLista"/>
        <w:numPr>
          <w:ilvl w:val="0"/>
          <w:numId w:val="14"/>
        </w:numPr>
        <w:spacing w:before="60" w:after="60"/>
        <w:jc w:val="both"/>
        <w:rPr>
          <w:rFonts w:ascii="Arial" w:hAnsi="Arial" w:cs="Arial"/>
          <w:sz w:val="20"/>
          <w:szCs w:val="20"/>
          <w:lang w:val="es-ES_tradnl"/>
        </w:rPr>
      </w:pPr>
      <w:r w:rsidRPr="00A433CC">
        <w:rPr>
          <w:rFonts w:ascii="Arial" w:hAnsi="Arial" w:cs="Arial"/>
          <w:sz w:val="20"/>
          <w:szCs w:val="20"/>
          <w:lang w:val="es-ES_tradnl"/>
        </w:rPr>
        <w:t>Primer día de entrega: 1 de enero del año en cuestión;</w:t>
      </w:r>
    </w:p>
    <w:p w14:paraId="161C1B8F" w14:textId="77777777" w:rsidR="00965ABB" w:rsidRPr="00A433CC" w:rsidRDefault="00965ABB" w:rsidP="00573680">
      <w:pPr>
        <w:pStyle w:val="PargrafodaLista"/>
        <w:numPr>
          <w:ilvl w:val="0"/>
          <w:numId w:val="14"/>
        </w:numPr>
        <w:spacing w:before="60" w:after="60"/>
        <w:jc w:val="both"/>
        <w:rPr>
          <w:rFonts w:ascii="Arial" w:hAnsi="Arial" w:cs="Arial"/>
          <w:sz w:val="20"/>
          <w:szCs w:val="20"/>
          <w:lang w:val="es-ES_tradnl"/>
        </w:rPr>
      </w:pPr>
      <w:r w:rsidRPr="00A433CC">
        <w:rPr>
          <w:rFonts w:ascii="Arial" w:hAnsi="Arial" w:cs="Arial"/>
          <w:sz w:val="20"/>
          <w:szCs w:val="20"/>
          <w:lang w:val="es-ES_tradnl"/>
        </w:rPr>
        <w:lastRenderedPageBreak/>
        <w:t>Último día de entrega: 31 de diciembre del año en cuestión;</w:t>
      </w:r>
    </w:p>
    <w:p w14:paraId="4F59EC01" w14:textId="77777777" w:rsidR="00965ABB" w:rsidRPr="00A433CC" w:rsidRDefault="00965ABB" w:rsidP="00573680">
      <w:pPr>
        <w:pStyle w:val="PargrafodaLista"/>
        <w:numPr>
          <w:ilvl w:val="0"/>
          <w:numId w:val="14"/>
        </w:numPr>
        <w:spacing w:before="60" w:after="60"/>
        <w:jc w:val="both"/>
        <w:rPr>
          <w:rFonts w:ascii="Arial" w:hAnsi="Arial" w:cs="Arial"/>
          <w:sz w:val="20"/>
          <w:szCs w:val="20"/>
          <w:lang w:val="es-ES_tradnl"/>
        </w:rPr>
      </w:pPr>
      <w:r w:rsidRPr="00A433CC">
        <w:rPr>
          <w:rFonts w:ascii="Arial" w:hAnsi="Arial" w:cs="Arial"/>
          <w:sz w:val="20"/>
          <w:szCs w:val="20"/>
          <w:lang w:val="es-ES_tradnl"/>
        </w:rPr>
        <w:t>Período de Entrega: cada uno de los años de calendario, con inicio a las 00:00 h. del día 1 de enero y término a las 24:00 h. del 31 de diciembre.</w:t>
      </w:r>
    </w:p>
    <w:p w14:paraId="47BFBEE6" w14:textId="77777777" w:rsidR="00965ABB" w:rsidRDefault="00914527" w:rsidP="00965ABB">
      <w:pPr>
        <w:pStyle w:val="PargrafodaLista"/>
        <w:spacing w:before="60" w:after="60"/>
        <w:ind w:left="426" w:hanging="426"/>
        <w:contextualSpacing w:val="0"/>
        <w:jc w:val="both"/>
        <w:rPr>
          <w:rFonts w:ascii="Arial" w:hAnsi="Arial" w:cs="Arial"/>
          <w:sz w:val="20"/>
          <w:szCs w:val="20"/>
          <w:lang w:val="es-ES_tradnl"/>
        </w:rPr>
      </w:pPr>
      <w:r>
        <w:rPr>
          <w:rFonts w:ascii="Arial" w:hAnsi="Arial" w:cs="Arial"/>
          <w:sz w:val="20"/>
          <w:szCs w:val="20"/>
          <w:lang w:val="es-ES_tradnl"/>
        </w:rPr>
        <w:t>2</w:t>
      </w:r>
      <w:r w:rsidR="00965ABB" w:rsidRPr="00965ABB">
        <w:rPr>
          <w:rFonts w:ascii="Arial" w:hAnsi="Arial" w:cs="Arial"/>
          <w:sz w:val="20"/>
          <w:szCs w:val="20"/>
          <w:lang w:val="es-ES_tradnl"/>
        </w:rPr>
        <w:t>.</w:t>
      </w:r>
      <w:r w:rsidR="00965ABB" w:rsidRPr="00965ABB">
        <w:rPr>
          <w:rFonts w:ascii="Arial" w:hAnsi="Arial" w:cs="Arial"/>
          <w:sz w:val="20"/>
          <w:szCs w:val="20"/>
          <w:lang w:val="es-ES_tradnl"/>
        </w:rPr>
        <w:tab/>
        <w:t>Atendiendo al proceso de Fracción</w:t>
      </w:r>
      <w:r w:rsidR="00AE3F67">
        <w:rPr>
          <w:rFonts w:ascii="Arial" w:hAnsi="Arial" w:cs="Arial"/>
          <w:sz w:val="20"/>
          <w:szCs w:val="20"/>
          <w:lang w:val="es-ES_tradnl"/>
        </w:rPr>
        <w:t xml:space="preserve"> (</w:t>
      </w:r>
      <w:proofErr w:type="spellStart"/>
      <w:r w:rsidR="00AE3F67" w:rsidRPr="00AE3F67">
        <w:rPr>
          <w:rFonts w:ascii="Arial" w:hAnsi="Arial" w:cs="Arial"/>
          <w:i/>
          <w:sz w:val="20"/>
          <w:szCs w:val="20"/>
          <w:lang w:val="es-ES_tradnl"/>
        </w:rPr>
        <w:t>Cascading</w:t>
      </w:r>
      <w:proofErr w:type="spellEnd"/>
      <w:r w:rsidR="00AE3F67">
        <w:rPr>
          <w:rFonts w:ascii="Arial" w:hAnsi="Arial" w:cs="Arial"/>
          <w:sz w:val="20"/>
          <w:szCs w:val="20"/>
          <w:lang w:val="es-ES_tradnl"/>
        </w:rPr>
        <w:t>)</w:t>
      </w:r>
      <w:r w:rsidR="00965ABB" w:rsidRPr="00965ABB">
        <w:rPr>
          <w:rFonts w:ascii="Arial" w:hAnsi="Arial" w:cs="Arial"/>
          <w:sz w:val="20"/>
          <w:szCs w:val="20"/>
          <w:lang w:val="es-ES_tradnl"/>
        </w:rPr>
        <w:t xml:space="preserve"> de Posiciones descrito en la Cláusula siguiente, el Período de Entrega definido para el Contrato Futuros MIBEL PTEL Base Financieros Año debe entenderse únicamente como un Período de Entrega nocional.</w:t>
      </w:r>
    </w:p>
    <w:p w14:paraId="220B63E9" w14:textId="77777777" w:rsidR="00965ABB" w:rsidRDefault="00965ABB" w:rsidP="00CF5FED">
      <w:pPr>
        <w:spacing w:before="60" w:after="60"/>
        <w:jc w:val="both"/>
        <w:rPr>
          <w:rFonts w:ascii="Arial" w:hAnsi="Arial" w:cs="Arial"/>
          <w:sz w:val="20"/>
          <w:szCs w:val="20"/>
          <w:lang w:val="es-ES_tradnl"/>
        </w:rPr>
      </w:pPr>
    </w:p>
    <w:p w14:paraId="2A0499C4" w14:textId="77777777" w:rsidR="00431452" w:rsidRPr="000F3265" w:rsidRDefault="00431452" w:rsidP="00431452">
      <w:pPr>
        <w:spacing w:before="60" w:after="60"/>
        <w:jc w:val="both"/>
        <w:rPr>
          <w:rFonts w:ascii="Arial" w:hAnsi="Arial" w:cs="Arial"/>
          <w:b/>
          <w:color w:val="92D050"/>
          <w:sz w:val="20"/>
          <w:szCs w:val="28"/>
          <w:lang w:val="es-ES_tradnl"/>
        </w:rPr>
      </w:pPr>
      <w:r w:rsidRPr="000F3265">
        <w:rPr>
          <w:rFonts w:ascii="Arial" w:hAnsi="Arial" w:cs="Arial"/>
          <w:b/>
          <w:color w:val="92D050"/>
          <w:sz w:val="20"/>
          <w:szCs w:val="28"/>
          <w:lang w:val="es-ES_tradnl"/>
        </w:rPr>
        <w:t>Cláusula 1</w:t>
      </w:r>
      <w:r w:rsidR="00AE3F67">
        <w:rPr>
          <w:rFonts w:ascii="Arial" w:hAnsi="Arial" w:cs="Arial"/>
          <w:b/>
          <w:color w:val="92D050"/>
          <w:sz w:val="20"/>
          <w:szCs w:val="28"/>
          <w:lang w:val="es-ES_tradnl"/>
        </w:rPr>
        <w:t>2</w:t>
      </w:r>
      <w:r w:rsidRPr="000F3265">
        <w:rPr>
          <w:rFonts w:ascii="Arial" w:hAnsi="Arial" w:cs="Arial"/>
          <w:b/>
          <w:color w:val="92D050"/>
          <w:sz w:val="20"/>
          <w:szCs w:val="28"/>
          <w:lang w:val="es-ES_tradnl"/>
        </w:rPr>
        <w:t xml:space="preserve">ª – Contratos de Futuros MIBEL PTEL Base Financieros Año - Vencimiento por Fracción </w:t>
      </w:r>
      <w:r w:rsidR="00AE3F67" w:rsidRPr="00AE3F67">
        <w:rPr>
          <w:rFonts w:ascii="Arial" w:hAnsi="Arial" w:cs="Arial"/>
          <w:b/>
          <w:color w:val="92D050"/>
          <w:sz w:val="20"/>
          <w:szCs w:val="28"/>
          <w:lang w:val="es-ES_tradnl"/>
        </w:rPr>
        <w:t>(</w:t>
      </w:r>
      <w:proofErr w:type="spellStart"/>
      <w:r w:rsidR="00AE3F67" w:rsidRPr="00AE3F67">
        <w:rPr>
          <w:rFonts w:ascii="Arial" w:hAnsi="Arial" w:cs="Arial"/>
          <w:b/>
          <w:i/>
          <w:color w:val="92D050"/>
          <w:sz w:val="20"/>
          <w:szCs w:val="28"/>
          <w:lang w:val="es-ES_tradnl"/>
        </w:rPr>
        <w:t>Cascading</w:t>
      </w:r>
      <w:proofErr w:type="spellEnd"/>
      <w:r w:rsidR="00AE3F67" w:rsidRPr="00AE3F67">
        <w:rPr>
          <w:rFonts w:ascii="Arial" w:hAnsi="Arial" w:cs="Arial"/>
          <w:b/>
          <w:color w:val="92D050"/>
          <w:sz w:val="20"/>
          <w:szCs w:val="28"/>
          <w:lang w:val="es-ES_tradnl"/>
        </w:rPr>
        <w:t xml:space="preserve">) </w:t>
      </w:r>
      <w:r w:rsidRPr="000F3265">
        <w:rPr>
          <w:rFonts w:ascii="Arial" w:hAnsi="Arial" w:cs="Arial"/>
          <w:b/>
          <w:color w:val="92D050"/>
          <w:sz w:val="20"/>
          <w:szCs w:val="28"/>
          <w:lang w:val="es-ES_tradnl"/>
        </w:rPr>
        <w:t>de Posiciones</w:t>
      </w:r>
    </w:p>
    <w:p w14:paraId="0D8BCFEB" w14:textId="77777777" w:rsidR="00431452" w:rsidRPr="00431452" w:rsidRDefault="00431452" w:rsidP="000F3265">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1.</w:t>
      </w:r>
      <w:r w:rsidRPr="00431452">
        <w:rPr>
          <w:rFonts w:ascii="Arial" w:hAnsi="Arial" w:cs="Arial"/>
          <w:sz w:val="20"/>
          <w:szCs w:val="20"/>
          <w:lang w:val="es-ES_tradnl"/>
        </w:rPr>
        <w:tab/>
        <w:t xml:space="preserve">El vencimiento de los Contratos MIBEL PTEL Base Financieros Año se procesa mediante la Fracción </w:t>
      </w:r>
      <w:r w:rsidR="00AE3F67">
        <w:rPr>
          <w:rFonts w:ascii="Arial" w:hAnsi="Arial" w:cs="Arial"/>
          <w:sz w:val="20"/>
          <w:szCs w:val="20"/>
          <w:lang w:val="es-ES_tradnl"/>
        </w:rPr>
        <w:t>(</w:t>
      </w:r>
      <w:proofErr w:type="spellStart"/>
      <w:r w:rsidR="00AE3F67" w:rsidRPr="00AE3F67">
        <w:rPr>
          <w:rFonts w:ascii="Arial" w:hAnsi="Arial" w:cs="Arial"/>
          <w:i/>
          <w:sz w:val="20"/>
          <w:szCs w:val="20"/>
          <w:lang w:val="es-ES_tradnl"/>
        </w:rPr>
        <w:t>Cascading</w:t>
      </w:r>
      <w:proofErr w:type="spellEnd"/>
      <w:r w:rsidR="00AE3F67">
        <w:rPr>
          <w:rFonts w:ascii="Arial" w:hAnsi="Arial" w:cs="Arial"/>
          <w:sz w:val="20"/>
          <w:szCs w:val="20"/>
          <w:lang w:val="es-ES_tradnl"/>
        </w:rPr>
        <w:t xml:space="preserve">) </w:t>
      </w:r>
      <w:r w:rsidRPr="00431452">
        <w:rPr>
          <w:rFonts w:ascii="Arial" w:hAnsi="Arial" w:cs="Arial"/>
          <w:sz w:val="20"/>
          <w:szCs w:val="20"/>
          <w:lang w:val="es-ES_tradnl"/>
        </w:rPr>
        <w:t xml:space="preserve">de las Posiciones de un Contrato Año en posiciones de valor idéntico en los Contratos Enero, Febrero, Marzo, 2º Trimestre, 3º Trimestre e 4º </w:t>
      </w:r>
      <w:proofErr w:type="gramStart"/>
      <w:r w:rsidRPr="00431452">
        <w:rPr>
          <w:rFonts w:ascii="Arial" w:hAnsi="Arial" w:cs="Arial"/>
          <w:sz w:val="20"/>
          <w:szCs w:val="20"/>
          <w:lang w:val="es-ES_tradnl"/>
        </w:rPr>
        <w:t>Trimestre  subyacentes</w:t>
      </w:r>
      <w:proofErr w:type="gramEnd"/>
      <w:r w:rsidRPr="00431452">
        <w:rPr>
          <w:rFonts w:ascii="Arial" w:hAnsi="Arial" w:cs="Arial"/>
          <w:sz w:val="20"/>
          <w:szCs w:val="20"/>
          <w:lang w:val="es-ES_tradnl"/>
        </w:rPr>
        <w:t>, las cuales serán plenamente fungibles con las Posiciones ya existentes en los respectivos Contratos Mes y Trimestre.</w:t>
      </w:r>
    </w:p>
    <w:p w14:paraId="47B42A6F" w14:textId="77777777" w:rsidR="00431452" w:rsidRPr="00431452" w:rsidRDefault="00431452" w:rsidP="000F3265">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2.</w:t>
      </w:r>
      <w:r w:rsidRPr="00431452">
        <w:rPr>
          <w:rFonts w:ascii="Arial" w:hAnsi="Arial" w:cs="Arial"/>
          <w:sz w:val="20"/>
          <w:szCs w:val="20"/>
          <w:lang w:val="es-ES_tradnl"/>
        </w:rPr>
        <w:tab/>
        <w:t xml:space="preserve">Las Posiciones en el Contrato MIBEL PTEL Base Financieros Año originales se sustituyen por nuevas posiciones en los Contratos MIBEL PTEL Base Financieros Enero, </w:t>
      </w:r>
      <w:proofErr w:type="gramStart"/>
      <w:r w:rsidRPr="00431452">
        <w:rPr>
          <w:rFonts w:ascii="Arial" w:hAnsi="Arial" w:cs="Arial"/>
          <w:sz w:val="20"/>
          <w:szCs w:val="20"/>
          <w:lang w:val="es-ES_tradnl"/>
        </w:rPr>
        <w:t>Febrero</w:t>
      </w:r>
      <w:proofErr w:type="gramEnd"/>
      <w:r w:rsidRPr="00431452">
        <w:rPr>
          <w:rFonts w:ascii="Arial" w:hAnsi="Arial" w:cs="Arial"/>
          <w:sz w:val="20"/>
          <w:szCs w:val="20"/>
          <w:lang w:val="es-ES_tradnl"/>
        </w:rPr>
        <w:t>, Marzo, 2º Trimestre, 3º Trimestre y 4º Trimestre subyacentes, las cuales adquieren el Precio de Referencia de Negociación (PRN) del respectivo Contrato Año en el UDN.</w:t>
      </w:r>
    </w:p>
    <w:p w14:paraId="65CCC9C6" w14:textId="77777777" w:rsidR="00431452" w:rsidRPr="00431452" w:rsidRDefault="00431452" w:rsidP="000F3265">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3.</w:t>
      </w:r>
      <w:r w:rsidRPr="00431452">
        <w:rPr>
          <w:rFonts w:ascii="Arial" w:hAnsi="Arial" w:cs="Arial"/>
          <w:sz w:val="20"/>
          <w:szCs w:val="20"/>
          <w:lang w:val="es-ES_tradnl"/>
        </w:rPr>
        <w:tab/>
      </w:r>
      <w:r w:rsidR="00AE3F67">
        <w:rPr>
          <w:rFonts w:ascii="Arial" w:hAnsi="Arial" w:cs="Arial"/>
          <w:sz w:val="20"/>
          <w:szCs w:val="20"/>
          <w:lang w:val="es-ES_tradnl"/>
        </w:rPr>
        <w:t>El procedimiento</w:t>
      </w:r>
      <w:r w:rsidR="00AE3F67" w:rsidRPr="00965ABB">
        <w:rPr>
          <w:rFonts w:ascii="Arial" w:hAnsi="Arial" w:cs="Arial"/>
          <w:sz w:val="20"/>
          <w:szCs w:val="20"/>
          <w:lang w:val="es-ES_tradnl"/>
        </w:rPr>
        <w:t xml:space="preserve"> </w:t>
      </w:r>
      <w:r w:rsidR="00AE3F67">
        <w:rPr>
          <w:rFonts w:ascii="Arial" w:hAnsi="Arial" w:cs="Arial"/>
          <w:sz w:val="20"/>
          <w:szCs w:val="20"/>
          <w:lang w:val="es-ES_tradnl"/>
        </w:rPr>
        <w:t xml:space="preserve">de fracción </w:t>
      </w:r>
      <w:r w:rsidRPr="00431452">
        <w:rPr>
          <w:rFonts w:ascii="Arial" w:hAnsi="Arial" w:cs="Arial"/>
          <w:sz w:val="20"/>
          <w:szCs w:val="20"/>
          <w:lang w:val="es-ES_tradnl"/>
        </w:rPr>
        <w:t>referid</w:t>
      </w:r>
      <w:r w:rsidR="00AE3F67">
        <w:rPr>
          <w:rFonts w:ascii="Arial" w:hAnsi="Arial" w:cs="Arial"/>
          <w:sz w:val="20"/>
          <w:szCs w:val="20"/>
          <w:lang w:val="es-ES_tradnl"/>
        </w:rPr>
        <w:t>o</w:t>
      </w:r>
      <w:r w:rsidRPr="00431452">
        <w:rPr>
          <w:rFonts w:ascii="Arial" w:hAnsi="Arial" w:cs="Arial"/>
          <w:sz w:val="20"/>
          <w:szCs w:val="20"/>
          <w:lang w:val="es-ES_tradnl"/>
        </w:rPr>
        <w:t xml:space="preserve"> en el número anterior se procesa en el UDN, después del término de los procedimientos de compensación y liquidación por OMIClear. La Fracción de las Posiciones del Contrato Año se realiza en el mismo momento de la Fracción de las Posiciones del primer Contrato Trimestre de ese mismo año.</w:t>
      </w:r>
    </w:p>
    <w:p w14:paraId="7C65AEE1" w14:textId="77777777" w:rsidR="00431452" w:rsidRPr="00431452" w:rsidRDefault="00431452" w:rsidP="00431452">
      <w:pPr>
        <w:spacing w:before="60" w:after="60"/>
        <w:jc w:val="both"/>
        <w:rPr>
          <w:rFonts w:ascii="Arial" w:hAnsi="Arial" w:cs="Arial"/>
          <w:sz w:val="20"/>
          <w:szCs w:val="20"/>
          <w:lang w:val="es-ES_tradnl"/>
        </w:rPr>
      </w:pPr>
    </w:p>
    <w:p w14:paraId="63F2FAE7" w14:textId="77777777" w:rsidR="00431452" w:rsidRPr="000F3265" w:rsidRDefault="00431452" w:rsidP="00431452">
      <w:pPr>
        <w:spacing w:before="60" w:after="60"/>
        <w:jc w:val="both"/>
        <w:rPr>
          <w:rFonts w:ascii="Arial" w:hAnsi="Arial" w:cs="Arial"/>
          <w:b/>
          <w:color w:val="92D050"/>
          <w:sz w:val="20"/>
          <w:szCs w:val="28"/>
          <w:lang w:val="es-ES_tradnl"/>
        </w:rPr>
      </w:pPr>
      <w:r w:rsidRPr="000F3265">
        <w:rPr>
          <w:rFonts w:ascii="Arial" w:hAnsi="Arial" w:cs="Arial"/>
          <w:b/>
          <w:color w:val="92D050"/>
          <w:sz w:val="20"/>
          <w:szCs w:val="28"/>
          <w:lang w:val="es-ES_tradnl"/>
        </w:rPr>
        <w:t>Cláusula 1</w:t>
      </w:r>
      <w:r w:rsidR="00AE3F67">
        <w:rPr>
          <w:rFonts w:ascii="Arial" w:hAnsi="Arial" w:cs="Arial"/>
          <w:b/>
          <w:color w:val="92D050"/>
          <w:sz w:val="20"/>
          <w:szCs w:val="28"/>
          <w:lang w:val="es-ES_tradnl"/>
        </w:rPr>
        <w:t>3</w:t>
      </w:r>
      <w:r w:rsidRPr="000F3265">
        <w:rPr>
          <w:rFonts w:ascii="Arial" w:hAnsi="Arial" w:cs="Arial"/>
          <w:b/>
          <w:color w:val="92D050"/>
          <w:sz w:val="20"/>
          <w:szCs w:val="28"/>
          <w:lang w:val="es-ES_tradnl"/>
        </w:rPr>
        <w:t>ª – Difusión de información de los Contratos</w:t>
      </w:r>
    </w:p>
    <w:p w14:paraId="7B9051D9" w14:textId="77777777" w:rsidR="00431452" w:rsidRDefault="00C07B89" w:rsidP="00431452">
      <w:pPr>
        <w:spacing w:before="60" w:after="60"/>
        <w:jc w:val="both"/>
        <w:rPr>
          <w:rFonts w:ascii="Arial" w:hAnsi="Arial" w:cs="Arial"/>
          <w:sz w:val="20"/>
          <w:szCs w:val="20"/>
          <w:lang w:val="es-ES_tradnl"/>
        </w:rPr>
      </w:pPr>
      <w:r w:rsidRPr="00B44C5E">
        <w:rPr>
          <w:rFonts w:ascii="Arial" w:hAnsi="Arial" w:cs="Arial"/>
          <w:sz w:val="20"/>
          <w:szCs w:val="20"/>
          <w:lang w:val="es-ES_tradnl"/>
        </w:rPr>
        <w:t xml:space="preserve">Para cada Contrato, OMIP </w:t>
      </w:r>
      <w:r w:rsidR="004B6591">
        <w:rPr>
          <w:rFonts w:ascii="Arial" w:hAnsi="Arial" w:cs="Arial"/>
          <w:sz w:val="20"/>
          <w:szCs w:val="20"/>
          <w:lang w:val="es-ES_tradnl"/>
        </w:rPr>
        <w:t>pone a disposición</w:t>
      </w:r>
      <w:r w:rsidRPr="00B44C5E">
        <w:rPr>
          <w:rFonts w:ascii="Arial" w:hAnsi="Arial" w:cs="Arial"/>
          <w:sz w:val="20"/>
          <w:szCs w:val="20"/>
          <w:lang w:val="es-ES_tradnl"/>
        </w:rPr>
        <w:t xml:space="preserve"> en </w:t>
      </w:r>
      <w:r>
        <w:rPr>
          <w:rFonts w:ascii="Arial" w:hAnsi="Arial" w:cs="Arial"/>
          <w:sz w:val="20"/>
          <w:szCs w:val="20"/>
          <w:lang w:val="es-ES_tradnl"/>
        </w:rPr>
        <w:t xml:space="preserve">su </w:t>
      </w:r>
      <w:proofErr w:type="spellStart"/>
      <w:r w:rsidRPr="005B701C">
        <w:rPr>
          <w:rFonts w:ascii="Arial" w:hAnsi="Arial" w:cs="Arial"/>
          <w:i/>
          <w:sz w:val="20"/>
          <w:szCs w:val="20"/>
          <w:lang w:val="es-ES_tradnl"/>
        </w:rPr>
        <w:t>Website</w:t>
      </w:r>
      <w:proofErr w:type="spellEnd"/>
      <w:r>
        <w:rPr>
          <w:rFonts w:ascii="Arial" w:hAnsi="Arial" w:cs="Arial"/>
          <w:sz w:val="20"/>
          <w:szCs w:val="20"/>
          <w:lang w:val="es-ES_tradnl"/>
        </w:rPr>
        <w:t xml:space="preserve"> un fichero con</w:t>
      </w:r>
      <w:r w:rsidRPr="00B44C5E">
        <w:rPr>
          <w:rFonts w:ascii="Arial" w:hAnsi="Arial" w:cs="Arial"/>
          <w:sz w:val="20"/>
          <w:szCs w:val="20"/>
          <w:lang w:val="es-ES_tradnl"/>
        </w:rPr>
        <w:t xml:space="preserve"> su Valor Nominal, el primer y el último día del Periodo de Negociación, así como el primer y el último día de entrega.</w:t>
      </w:r>
    </w:p>
    <w:p w14:paraId="6AA0DB2E" w14:textId="77777777" w:rsidR="000F3265" w:rsidRPr="00431452" w:rsidRDefault="000F3265" w:rsidP="00431452">
      <w:pPr>
        <w:spacing w:before="60" w:after="60"/>
        <w:jc w:val="both"/>
        <w:rPr>
          <w:rFonts w:ascii="Arial" w:hAnsi="Arial" w:cs="Arial"/>
          <w:sz w:val="20"/>
          <w:szCs w:val="20"/>
          <w:lang w:val="es-ES_tradnl"/>
        </w:rPr>
      </w:pPr>
    </w:p>
    <w:p w14:paraId="38055C89" w14:textId="77777777" w:rsidR="00431452" w:rsidRPr="00431452" w:rsidRDefault="00431452" w:rsidP="00431452">
      <w:pPr>
        <w:spacing w:before="60" w:after="60"/>
        <w:jc w:val="both"/>
        <w:rPr>
          <w:rFonts w:ascii="Arial" w:hAnsi="Arial" w:cs="Arial"/>
          <w:sz w:val="20"/>
          <w:szCs w:val="20"/>
          <w:lang w:val="es-ES_tradnl"/>
        </w:rPr>
      </w:pPr>
    </w:p>
    <w:p w14:paraId="40BBD208" w14:textId="77777777" w:rsidR="00431452" w:rsidRPr="000F3265" w:rsidRDefault="00431452" w:rsidP="00431452">
      <w:pPr>
        <w:spacing w:before="60" w:after="60"/>
        <w:jc w:val="both"/>
        <w:rPr>
          <w:rFonts w:ascii="Arial" w:hAnsi="Arial" w:cs="Arial"/>
          <w:b/>
          <w:color w:val="92D050"/>
          <w:sz w:val="20"/>
          <w:szCs w:val="28"/>
          <w:lang w:val="es-ES_tradnl"/>
        </w:rPr>
      </w:pPr>
      <w:r w:rsidRPr="000F3265">
        <w:rPr>
          <w:rFonts w:ascii="Arial" w:hAnsi="Arial" w:cs="Arial"/>
          <w:b/>
          <w:color w:val="92D050"/>
          <w:sz w:val="20"/>
          <w:szCs w:val="28"/>
          <w:lang w:val="es-ES_tradnl"/>
        </w:rPr>
        <w:t>Cláusula 1</w:t>
      </w:r>
      <w:r w:rsidR="00AE3F67">
        <w:rPr>
          <w:rFonts w:ascii="Arial" w:hAnsi="Arial" w:cs="Arial"/>
          <w:b/>
          <w:color w:val="92D050"/>
          <w:sz w:val="20"/>
          <w:szCs w:val="28"/>
          <w:lang w:val="es-ES_tradnl"/>
        </w:rPr>
        <w:t>4</w:t>
      </w:r>
      <w:r w:rsidRPr="000F3265">
        <w:rPr>
          <w:rFonts w:ascii="Arial" w:hAnsi="Arial" w:cs="Arial"/>
          <w:b/>
          <w:color w:val="92D050"/>
          <w:sz w:val="20"/>
          <w:szCs w:val="28"/>
          <w:lang w:val="es-ES_tradnl"/>
        </w:rPr>
        <w:t>ª – Forma de Negociación, Calendario, Horario y Referencias Horarias</w:t>
      </w:r>
    </w:p>
    <w:p w14:paraId="007543B8"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1.</w:t>
      </w:r>
      <w:r w:rsidRPr="00431452">
        <w:rPr>
          <w:rFonts w:ascii="Arial" w:hAnsi="Arial" w:cs="Arial"/>
          <w:sz w:val="20"/>
          <w:szCs w:val="20"/>
          <w:lang w:val="es-ES_tradnl"/>
        </w:rPr>
        <w:tab/>
        <w:t>La negociación se desarrolla en continuo o en subasta, de acuerdo con el calendario y el horario de negociación publicados en Avisos de OMIP.</w:t>
      </w:r>
    </w:p>
    <w:p w14:paraId="2DB38FE9"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2.</w:t>
      </w:r>
      <w:r w:rsidRPr="00431452">
        <w:rPr>
          <w:rFonts w:ascii="Arial" w:hAnsi="Arial" w:cs="Arial"/>
          <w:sz w:val="20"/>
          <w:szCs w:val="20"/>
          <w:lang w:val="es-ES_tradnl"/>
        </w:rPr>
        <w:tab/>
        <w:t xml:space="preserve">Las referencias horarias que figuran en estas Cláusulas Contractuales Generales se refieren </w:t>
      </w:r>
      <w:r w:rsidR="00202331" w:rsidRPr="00B44C5E">
        <w:rPr>
          <w:rFonts w:ascii="Arial" w:hAnsi="Arial" w:cs="Arial"/>
          <w:sz w:val="20"/>
          <w:szCs w:val="20"/>
          <w:lang w:val="es-ES_tradnl"/>
        </w:rPr>
        <w:t xml:space="preserve">a la hora </w:t>
      </w:r>
      <w:r w:rsidR="00202331">
        <w:rPr>
          <w:rFonts w:ascii="Arial" w:hAnsi="Arial" w:cs="Arial"/>
          <w:sz w:val="20"/>
          <w:szCs w:val="20"/>
          <w:lang w:val="es-ES_tradnl"/>
        </w:rPr>
        <w:t>de Europa Central (CET)</w:t>
      </w:r>
      <w:r w:rsidRPr="00431452">
        <w:rPr>
          <w:rFonts w:ascii="Arial" w:hAnsi="Arial" w:cs="Arial"/>
          <w:sz w:val="20"/>
          <w:szCs w:val="20"/>
          <w:lang w:val="es-ES_tradnl"/>
        </w:rPr>
        <w:t>.</w:t>
      </w:r>
    </w:p>
    <w:p w14:paraId="5CA49B9C" w14:textId="77777777" w:rsidR="00431452" w:rsidRPr="00431452" w:rsidRDefault="00431452" w:rsidP="00431452">
      <w:pPr>
        <w:spacing w:before="60" w:after="60"/>
        <w:jc w:val="both"/>
        <w:rPr>
          <w:rFonts w:ascii="Arial" w:hAnsi="Arial" w:cs="Arial"/>
          <w:sz w:val="20"/>
          <w:szCs w:val="20"/>
          <w:lang w:val="es-ES_tradnl"/>
        </w:rPr>
      </w:pPr>
    </w:p>
    <w:p w14:paraId="31F29D55" w14:textId="77777777" w:rsidR="00431452" w:rsidRPr="000F3265" w:rsidRDefault="00431452" w:rsidP="00431452">
      <w:pPr>
        <w:spacing w:before="60" w:after="60"/>
        <w:jc w:val="both"/>
        <w:rPr>
          <w:rFonts w:ascii="Arial" w:hAnsi="Arial" w:cs="Arial"/>
          <w:b/>
          <w:color w:val="92D050"/>
          <w:sz w:val="20"/>
          <w:szCs w:val="28"/>
          <w:lang w:val="es-ES_tradnl"/>
        </w:rPr>
      </w:pPr>
      <w:r w:rsidRPr="000F3265">
        <w:rPr>
          <w:rFonts w:ascii="Arial" w:hAnsi="Arial" w:cs="Arial"/>
          <w:b/>
          <w:color w:val="92D050"/>
          <w:sz w:val="20"/>
          <w:szCs w:val="28"/>
          <w:lang w:val="es-ES_tradnl"/>
        </w:rPr>
        <w:t>Cláusula 1</w:t>
      </w:r>
      <w:r w:rsidR="00AE3F67">
        <w:rPr>
          <w:rFonts w:ascii="Arial" w:hAnsi="Arial" w:cs="Arial"/>
          <w:b/>
          <w:color w:val="92D050"/>
          <w:sz w:val="20"/>
          <w:szCs w:val="28"/>
          <w:lang w:val="es-ES_tradnl"/>
        </w:rPr>
        <w:t>5</w:t>
      </w:r>
      <w:r w:rsidRPr="000F3265">
        <w:rPr>
          <w:rFonts w:ascii="Arial" w:hAnsi="Arial" w:cs="Arial"/>
          <w:b/>
          <w:color w:val="92D050"/>
          <w:sz w:val="20"/>
          <w:szCs w:val="28"/>
          <w:lang w:val="es-ES_tradnl"/>
        </w:rPr>
        <w:t>ª - Liquidación diaria de pérdidas y ganancias, Márgenes y Límites de Variación Máxima de Precios</w:t>
      </w:r>
    </w:p>
    <w:p w14:paraId="438A8605"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1.</w:t>
      </w:r>
      <w:r w:rsidRPr="00431452">
        <w:rPr>
          <w:rFonts w:ascii="Arial" w:hAnsi="Arial" w:cs="Arial"/>
          <w:sz w:val="20"/>
          <w:szCs w:val="20"/>
          <w:lang w:val="es-ES_tradnl"/>
        </w:rPr>
        <w:tab/>
        <w:t>Durante el período de negociación de los Contratos, se efectúa una liquidación diaria de ganancias y pérdidas (</w:t>
      </w:r>
      <w:proofErr w:type="spellStart"/>
      <w:r w:rsidRPr="00AE3F67">
        <w:rPr>
          <w:rFonts w:ascii="Arial" w:hAnsi="Arial" w:cs="Arial"/>
          <w:i/>
          <w:sz w:val="20"/>
          <w:szCs w:val="20"/>
          <w:lang w:val="es-ES_tradnl"/>
        </w:rPr>
        <w:t>mark-to-market</w:t>
      </w:r>
      <w:proofErr w:type="spellEnd"/>
      <w:r w:rsidRPr="00431452">
        <w:rPr>
          <w:rFonts w:ascii="Arial" w:hAnsi="Arial" w:cs="Arial"/>
          <w:sz w:val="20"/>
          <w:szCs w:val="20"/>
          <w:lang w:val="es-ES_tradnl"/>
        </w:rPr>
        <w:t>), con arreglo a la metodología y los procedimientos definidos en Circulares de OMIClear.</w:t>
      </w:r>
    </w:p>
    <w:p w14:paraId="344433E0"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2.</w:t>
      </w:r>
      <w:r w:rsidRPr="00431452">
        <w:rPr>
          <w:rFonts w:ascii="Arial" w:hAnsi="Arial" w:cs="Arial"/>
          <w:sz w:val="20"/>
          <w:szCs w:val="20"/>
          <w:lang w:val="es-ES_tradnl"/>
        </w:rPr>
        <w:tab/>
        <w:t>Los límites de variación máxima de precios durante la Sesión de Negociación, aplicables a cada Contrato, en el caso de que existan, son definidos en Aviso de OMIP.</w:t>
      </w:r>
    </w:p>
    <w:p w14:paraId="3786EBD9"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3.</w:t>
      </w:r>
      <w:r w:rsidRPr="00431452">
        <w:rPr>
          <w:rFonts w:ascii="Arial" w:hAnsi="Arial" w:cs="Arial"/>
          <w:sz w:val="20"/>
          <w:szCs w:val="20"/>
          <w:lang w:val="es-ES_tradnl"/>
        </w:rPr>
        <w:tab/>
        <w:t>OMIP puede, en circunstancias excepcionales de mercado, fijar nuevos límites de variación máxima de precios, mediante una simple comunicación a los miembros del mercado.</w:t>
      </w:r>
    </w:p>
    <w:p w14:paraId="4E12A4A5"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lastRenderedPageBreak/>
        <w:t>4.</w:t>
      </w:r>
      <w:r w:rsidRPr="00431452">
        <w:rPr>
          <w:rFonts w:ascii="Arial" w:hAnsi="Arial" w:cs="Arial"/>
          <w:sz w:val="20"/>
          <w:szCs w:val="20"/>
          <w:lang w:val="es-ES_tradnl"/>
        </w:rPr>
        <w:tab/>
        <w:t>La metodología de compensación y cálculo de los Márgenes debidos por las Posiciones abiertas en cada Contrato, tanto en el período de negociación como en el Período de Entrega, es definida en Circular de OMIClear.</w:t>
      </w:r>
    </w:p>
    <w:p w14:paraId="3C432C5A" w14:textId="77777777" w:rsidR="00431452" w:rsidRPr="00431452" w:rsidRDefault="00431452" w:rsidP="00431452">
      <w:pPr>
        <w:spacing w:before="60" w:after="60"/>
        <w:jc w:val="both"/>
        <w:rPr>
          <w:rFonts w:ascii="Arial" w:hAnsi="Arial" w:cs="Arial"/>
          <w:sz w:val="20"/>
          <w:szCs w:val="20"/>
          <w:lang w:val="es-ES_tradnl"/>
        </w:rPr>
      </w:pPr>
    </w:p>
    <w:p w14:paraId="78094D70" w14:textId="77777777" w:rsidR="00431452" w:rsidRPr="000F3265" w:rsidRDefault="00431452" w:rsidP="00431452">
      <w:pPr>
        <w:spacing w:before="60" w:after="60"/>
        <w:jc w:val="both"/>
        <w:rPr>
          <w:rFonts w:ascii="Arial" w:hAnsi="Arial" w:cs="Arial"/>
          <w:b/>
          <w:color w:val="92D050"/>
          <w:sz w:val="20"/>
          <w:szCs w:val="28"/>
          <w:lang w:val="es-ES_tradnl"/>
        </w:rPr>
      </w:pPr>
      <w:r w:rsidRPr="000F3265">
        <w:rPr>
          <w:rFonts w:ascii="Arial" w:hAnsi="Arial" w:cs="Arial"/>
          <w:b/>
          <w:color w:val="92D050"/>
          <w:sz w:val="20"/>
          <w:szCs w:val="28"/>
          <w:lang w:val="es-ES_tradnl"/>
        </w:rPr>
        <w:t>Cláusula 1</w:t>
      </w:r>
      <w:r w:rsidR="00AE3F67">
        <w:rPr>
          <w:rFonts w:ascii="Arial" w:hAnsi="Arial" w:cs="Arial"/>
          <w:b/>
          <w:color w:val="92D050"/>
          <w:sz w:val="20"/>
          <w:szCs w:val="28"/>
          <w:lang w:val="es-ES_tradnl"/>
        </w:rPr>
        <w:t>6</w:t>
      </w:r>
      <w:r w:rsidRPr="000F3265">
        <w:rPr>
          <w:rFonts w:ascii="Arial" w:hAnsi="Arial" w:cs="Arial"/>
          <w:b/>
          <w:color w:val="92D050"/>
          <w:sz w:val="20"/>
          <w:szCs w:val="28"/>
          <w:lang w:val="es-ES_tradnl"/>
        </w:rPr>
        <w:t>ª - Precio de Referencia de Negociación</w:t>
      </w:r>
    </w:p>
    <w:p w14:paraId="17ECAC3D" w14:textId="77777777" w:rsidR="00431452" w:rsidRPr="00A433CC" w:rsidRDefault="00431452" w:rsidP="0097495C">
      <w:pPr>
        <w:tabs>
          <w:tab w:val="left" w:pos="3500"/>
        </w:tabs>
        <w:spacing w:before="60" w:after="60"/>
        <w:jc w:val="both"/>
        <w:rPr>
          <w:rFonts w:ascii="Arial" w:hAnsi="Arial" w:cs="Arial"/>
          <w:sz w:val="20"/>
          <w:szCs w:val="20"/>
          <w:lang w:val="es-ES_tradnl"/>
        </w:rPr>
      </w:pPr>
      <w:r w:rsidRPr="00A433CC">
        <w:rPr>
          <w:rFonts w:ascii="Arial" w:hAnsi="Arial" w:cs="Arial"/>
          <w:sz w:val="20"/>
          <w:szCs w:val="20"/>
          <w:lang w:val="es-ES_tradnl"/>
        </w:rPr>
        <w:t>Tras el cierre de cada Sesión de Negociación, OMIP define, para cada Contrato, el Precio de Referencia de Negociación (PRN), de acuerdo con lo establecido en el artículo 55 del Reglamento de Negociación.</w:t>
      </w:r>
    </w:p>
    <w:p w14:paraId="6D985F06" w14:textId="77777777" w:rsidR="00431452" w:rsidRPr="00431452" w:rsidRDefault="00431452" w:rsidP="00431452">
      <w:pPr>
        <w:spacing w:before="60" w:after="60"/>
        <w:jc w:val="both"/>
        <w:rPr>
          <w:rFonts w:ascii="Arial" w:hAnsi="Arial" w:cs="Arial"/>
          <w:sz w:val="20"/>
          <w:szCs w:val="20"/>
          <w:lang w:val="es-ES_tradnl"/>
        </w:rPr>
      </w:pPr>
    </w:p>
    <w:p w14:paraId="0982523C" w14:textId="77777777" w:rsidR="00431452" w:rsidRPr="000F3265" w:rsidRDefault="00431452" w:rsidP="00431452">
      <w:pPr>
        <w:spacing w:before="60" w:after="60"/>
        <w:jc w:val="both"/>
        <w:rPr>
          <w:rFonts w:ascii="Arial" w:hAnsi="Arial" w:cs="Arial"/>
          <w:b/>
          <w:color w:val="92D050"/>
          <w:sz w:val="20"/>
          <w:szCs w:val="28"/>
          <w:lang w:val="es-ES_tradnl"/>
        </w:rPr>
      </w:pPr>
      <w:r w:rsidRPr="000F3265">
        <w:rPr>
          <w:rFonts w:ascii="Arial" w:hAnsi="Arial" w:cs="Arial"/>
          <w:b/>
          <w:color w:val="92D050"/>
          <w:sz w:val="20"/>
          <w:szCs w:val="28"/>
          <w:lang w:val="es-ES_tradnl"/>
        </w:rPr>
        <w:t>Cláusula 1</w:t>
      </w:r>
      <w:r w:rsidR="00AE3F67">
        <w:rPr>
          <w:rFonts w:ascii="Arial" w:hAnsi="Arial" w:cs="Arial"/>
          <w:b/>
          <w:color w:val="92D050"/>
          <w:sz w:val="20"/>
          <w:szCs w:val="28"/>
          <w:lang w:val="es-ES_tradnl"/>
        </w:rPr>
        <w:t>7</w:t>
      </w:r>
      <w:r w:rsidRPr="000F3265">
        <w:rPr>
          <w:rFonts w:ascii="Arial" w:hAnsi="Arial" w:cs="Arial"/>
          <w:b/>
          <w:color w:val="92D050"/>
          <w:sz w:val="20"/>
          <w:szCs w:val="28"/>
          <w:lang w:val="es-ES_tradnl"/>
        </w:rPr>
        <w:t>ª - Precio de Referencia Spot (PRS) durante el Período de Entrega</w:t>
      </w:r>
    </w:p>
    <w:p w14:paraId="67996E62"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1.</w:t>
      </w:r>
      <w:r w:rsidRPr="00431452">
        <w:rPr>
          <w:rFonts w:ascii="Arial" w:hAnsi="Arial" w:cs="Arial"/>
          <w:sz w:val="20"/>
          <w:szCs w:val="20"/>
          <w:lang w:val="es-ES_tradnl"/>
        </w:rPr>
        <w:tab/>
        <w:t>El PRS corresponde al valor monetario del índice PTEL base, teniendo como presupuesto que cada punto entero del índice vale 1 (un) euro.</w:t>
      </w:r>
    </w:p>
    <w:p w14:paraId="042C9459"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2.</w:t>
      </w:r>
      <w:r w:rsidRPr="00431452">
        <w:rPr>
          <w:rFonts w:ascii="Arial" w:hAnsi="Arial" w:cs="Arial"/>
          <w:sz w:val="20"/>
          <w:szCs w:val="20"/>
          <w:lang w:val="es-ES_tradnl"/>
        </w:rPr>
        <w:tab/>
        <w:t>De acuerdo con las reglas establecidas por OMIP, el índice PTEL base es definido con dos decimales, por lo que el PRS se redondea hasta un céntimo de euro.</w:t>
      </w:r>
    </w:p>
    <w:p w14:paraId="3D43DFA4" w14:textId="77777777" w:rsidR="00431452" w:rsidRPr="00431452"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3.</w:t>
      </w:r>
      <w:r w:rsidRPr="00431452">
        <w:rPr>
          <w:rFonts w:ascii="Arial" w:hAnsi="Arial" w:cs="Arial"/>
          <w:sz w:val="20"/>
          <w:szCs w:val="20"/>
          <w:lang w:val="es-ES_tradnl"/>
        </w:rPr>
        <w:tab/>
        <w:t xml:space="preserve">El PRS es utilizado en el cálculo de la liquidación financiera en el Período de Entrega, con arreglo a lo definido en la cláusula </w:t>
      </w:r>
      <w:r w:rsidR="00AE3F67">
        <w:rPr>
          <w:rFonts w:ascii="Arial" w:hAnsi="Arial" w:cs="Arial"/>
          <w:sz w:val="20"/>
          <w:szCs w:val="20"/>
          <w:lang w:val="es-ES_tradnl"/>
        </w:rPr>
        <w:t>s</w:t>
      </w:r>
      <w:r w:rsidR="00CF1E8F">
        <w:rPr>
          <w:rFonts w:ascii="Arial" w:hAnsi="Arial" w:cs="Arial"/>
          <w:sz w:val="20"/>
          <w:szCs w:val="20"/>
          <w:lang w:val="es-ES_tradnl"/>
        </w:rPr>
        <w:t>i</w:t>
      </w:r>
      <w:r w:rsidR="00AE3F67">
        <w:rPr>
          <w:rFonts w:ascii="Arial" w:hAnsi="Arial" w:cs="Arial"/>
          <w:sz w:val="20"/>
          <w:szCs w:val="20"/>
          <w:lang w:val="es-ES_tradnl"/>
        </w:rPr>
        <w:t>guiente</w:t>
      </w:r>
      <w:r w:rsidRPr="00431452">
        <w:rPr>
          <w:rFonts w:ascii="Arial" w:hAnsi="Arial" w:cs="Arial"/>
          <w:sz w:val="20"/>
          <w:szCs w:val="20"/>
          <w:lang w:val="es-ES_tradnl"/>
        </w:rPr>
        <w:t>.</w:t>
      </w:r>
    </w:p>
    <w:p w14:paraId="6FE77117" w14:textId="77777777" w:rsidR="00965ABB" w:rsidRDefault="00431452" w:rsidP="0097495C">
      <w:pPr>
        <w:pStyle w:val="PargrafodaLista"/>
        <w:spacing w:before="60" w:after="60"/>
        <w:ind w:left="426" w:hanging="426"/>
        <w:contextualSpacing w:val="0"/>
        <w:jc w:val="both"/>
        <w:rPr>
          <w:rFonts w:ascii="Arial" w:hAnsi="Arial" w:cs="Arial"/>
          <w:sz w:val="20"/>
          <w:szCs w:val="20"/>
          <w:lang w:val="es-ES_tradnl"/>
        </w:rPr>
      </w:pPr>
      <w:r w:rsidRPr="00431452">
        <w:rPr>
          <w:rFonts w:ascii="Arial" w:hAnsi="Arial" w:cs="Arial"/>
          <w:sz w:val="20"/>
          <w:szCs w:val="20"/>
          <w:lang w:val="es-ES_tradnl"/>
        </w:rPr>
        <w:t>4.</w:t>
      </w:r>
      <w:r w:rsidRPr="00431452">
        <w:rPr>
          <w:rFonts w:ascii="Arial" w:hAnsi="Arial" w:cs="Arial"/>
          <w:sz w:val="20"/>
          <w:szCs w:val="20"/>
          <w:lang w:val="es-ES_tradnl"/>
        </w:rPr>
        <w:tab/>
        <w:t xml:space="preserve">Los PRS son divulgados en </w:t>
      </w:r>
      <w:r w:rsidR="00AE3F67">
        <w:rPr>
          <w:rFonts w:ascii="Arial" w:hAnsi="Arial" w:cs="Arial"/>
          <w:sz w:val="20"/>
          <w:szCs w:val="20"/>
          <w:lang w:val="es-ES_tradnl"/>
        </w:rPr>
        <w:t>los</w:t>
      </w:r>
      <w:r w:rsidRPr="00431452">
        <w:rPr>
          <w:rFonts w:ascii="Arial" w:hAnsi="Arial" w:cs="Arial"/>
          <w:sz w:val="20"/>
          <w:szCs w:val="20"/>
          <w:lang w:val="es-ES_tradnl"/>
        </w:rPr>
        <w:t xml:space="preserve"> </w:t>
      </w:r>
      <w:proofErr w:type="spellStart"/>
      <w:r w:rsidR="00AE3F67" w:rsidRPr="00AE3F67">
        <w:rPr>
          <w:rFonts w:ascii="Arial" w:hAnsi="Arial" w:cs="Arial"/>
          <w:i/>
          <w:sz w:val="20"/>
          <w:szCs w:val="20"/>
          <w:lang w:val="es-ES_tradnl"/>
        </w:rPr>
        <w:t>sites</w:t>
      </w:r>
      <w:proofErr w:type="spellEnd"/>
      <w:r w:rsidRPr="00431452">
        <w:rPr>
          <w:rFonts w:ascii="Arial" w:hAnsi="Arial" w:cs="Arial"/>
          <w:sz w:val="20"/>
          <w:szCs w:val="20"/>
          <w:lang w:val="es-ES_tradnl"/>
        </w:rPr>
        <w:t xml:space="preserve"> de </w:t>
      </w:r>
      <w:r w:rsidR="00AE3F67">
        <w:rPr>
          <w:rFonts w:ascii="Arial" w:hAnsi="Arial" w:cs="Arial"/>
          <w:sz w:val="20"/>
          <w:szCs w:val="20"/>
          <w:lang w:val="es-ES_tradnl"/>
        </w:rPr>
        <w:t xml:space="preserve">OMIP y </w:t>
      </w:r>
      <w:r w:rsidRPr="00431452">
        <w:rPr>
          <w:rFonts w:ascii="Arial" w:hAnsi="Arial" w:cs="Arial"/>
          <w:sz w:val="20"/>
          <w:szCs w:val="20"/>
          <w:lang w:val="es-ES_tradnl"/>
        </w:rPr>
        <w:t>OMIClear.</w:t>
      </w:r>
    </w:p>
    <w:p w14:paraId="1CEA6962" w14:textId="77777777" w:rsidR="00965ABB" w:rsidRDefault="00965ABB" w:rsidP="00CF5FED">
      <w:pPr>
        <w:spacing w:before="60" w:after="60"/>
        <w:jc w:val="both"/>
        <w:rPr>
          <w:rFonts w:ascii="Arial" w:hAnsi="Arial" w:cs="Arial"/>
          <w:sz w:val="20"/>
          <w:szCs w:val="20"/>
          <w:lang w:val="es-ES_tradnl"/>
        </w:rPr>
      </w:pPr>
    </w:p>
    <w:p w14:paraId="67D988F9" w14:textId="77777777" w:rsidR="0097495C" w:rsidRPr="0097495C" w:rsidRDefault="0097495C" w:rsidP="0097495C">
      <w:pPr>
        <w:spacing w:before="60" w:after="60"/>
        <w:jc w:val="both"/>
        <w:rPr>
          <w:rFonts w:ascii="Arial" w:hAnsi="Arial" w:cs="Arial"/>
          <w:b/>
          <w:color w:val="92D050"/>
          <w:sz w:val="20"/>
          <w:szCs w:val="28"/>
          <w:lang w:val="es-ES_tradnl"/>
        </w:rPr>
      </w:pPr>
      <w:r w:rsidRPr="0097495C">
        <w:rPr>
          <w:rFonts w:ascii="Arial" w:hAnsi="Arial" w:cs="Arial"/>
          <w:b/>
          <w:color w:val="92D050"/>
          <w:sz w:val="20"/>
          <w:szCs w:val="28"/>
          <w:lang w:val="es-ES_tradnl"/>
        </w:rPr>
        <w:t>Cláusula 1</w:t>
      </w:r>
      <w:r w:rsidR="00AE3F67">
        <w:rPr>
          <w:rFonts w:ascii="Arial" w:hAnsi="Arial" w:cs="Arial"/>
          <w:b/>
          <w:color w:val="92D050"/>
          <w:sz w:val="20"/>
          <w:szCs w:val="28"/>
          <w:lang w:val="es-ES_tradnl"/>
        </w:rPr>
        <w:t>8</w:t>
      </w:r>
      <w:r w:rsidRPr="0097495C">
        <w:rPr>
          <w:rFonts w:ascii="Arial" w:hAnsi="Arial" w:cs="Arial"/>
          <w:b/>
          <w:color w:val="92D050"/>
          <w:sz w:val="20"/>
          <w:szCs w:val="28"/>
          <w:lang w:val="es-ES_tradnl"/>
        </w:rPr>
        <w:t>ª - Liquidación en el Período de Entrega</w:t>
      </w:r>
    </w:p>
    <w:p w14:paraId="1F68B763" w14:textId="77777777" w:rsidR="00CF1E8F" w:rsidRPr="00BC701D" w:rsidRDefault="00CF1E8F" w:rsidP="00CF1E8F">
      <w:pPr>
        <w:pStyle w:val="PargrafodaLista"/>
        <w:spacing w:before="60" w:after="60"/>
        <w:ind w:left="426" w:hanging="426"/>
        <w:contextualSpacing w:val="0"/>
        <w:jc w:val="both"/>
        <w:rPr>
          <w:rFonts w:ascii="Arial" w:hAnsi="Arial" w:cs="Arial"/>
          <w:sz w:val="20"/>
          <w:szCs w:val="20"/>
          <w:lang w:val="es-ES_tradnl"/>
        </w:rPr>
      </w:pPr>
      <w:r w:rsidRPr="00BC701D">
        <w:rPr>
          <w:rFonts w:ascii="Arial" w:hAnsi="Arial" w:cs="Arial"/>
          <w:sz w:val="20"/>
          <w:szCs w:val="20"/>
          <w:lang w:val="es-ES_tradnl"/>
        </w:rPr>
        <w:t>1.</w:t>
      </w:r>
      <w:r w:rsidRPr="00BC701D">
        <w:rPr>
          <w:rFonts w:ascii="Arial" w:hAnsi="Arial" w:cs="Arial"/>
          <w:sz w:val="20"/>
          <w:szCs w:val="20"/>
          <w:lang w:val="es-ES_tradnl"/>
        </w:rPr>
        <w:tab/>
        <w:t>Las disposiciones de la presente Cláusula se aplican exclusivamente a las Posiciones existentes en los contratos Mes, Semana, Fin de Semana y Día, independientemente de haber sido originadas por Operaciones directamente realizadas sobre esos Contratos o de ser provenientes de Fracción de Posiciones detentadas en los Contratos Año y Trimestre.</w:t>
      </w:r>
    </w:p>
    <w:p w14:paraId="0F501F45" w14:textId="77777777" w:rsidR="00CF1E8F" w:rsidRPr="00BC701D" w:rsidRDefault="00CF1E8F" w:rsidP="00CF1E8F">
      <w:pPr>
        <w:pStyle w:val="PargrafodaLista"/>
        <w:spacing w:before="60" w:after="60"/>
        <w:ind w:left="426" w:hanging="426"/>
        <w:contextualSpacing w:val="0"/>
        <w:jc w:val="both"/>
        <w:rPr>
          <w:rFonts w:ascii="Arial" w:hAnsi="Arial" w:cs="Arial"/>
          <w:sz w:val="20"/>
          <w:szCs w:val="20"/>
          <w:lang w:val="es-ES_tradnl"/>
        </w:rPr>
      </w:pPr>
      <w:r w:rsidRPr="00BC701D">
        <w:rPr>
          <w:rFonts w:ascii="Arial" w:hAnsi="Arial" w:cs="Arial"/>
          <w:sz w:val="20"/>
          <w:szCs w:val="20"/>
          <w:lang w:val="es-ES_tradnl"/>
        </w:rPr>
        <w:t>2.</w:t>
      </w:r>
      <w:r w:rsidRPr="00BC701D">
        <w:rPr>
          <w:rFonts w:ascii="Arial" w:hAnsi="Arial" w:cs="Arial"/>
          <w:sz w:val="20"/>
          <w:szCs w:val="20"/>
          <w:lang w:val="es-ES_tradnl"/>
        </w:rPr>
        <w:tab/>
        <w:t xml:space="preserve">Al final de la sesión del Último Día de Negociación de cada Contrato Día, Fin de Semana, Semana o Mes, las posiciones en abierto, incluidas las que resultan de la Fracción de posiciones de Contratos Trimestre o </w:t>
      </w:r>
      <w:proofErr w:type="gramStart"/>
      <w:r w:rsidRPr="00BC701D">
        <w:rPr>
          <w:rFonts w:ascii="Arial" w:hAnsi="Arial" w:cs="Arial"/>
          <w:sz w:val="20"/>
          <w:szCs w:val="20"/>
          <w:lang w:val="es-ES_tradnl"/>
        </w:rPr>
        <w:t>Año,  se</w:t>
      </w:r>
      <w:proofErr w:type="gramEnd"/>
      <w:r w:rsidRPr="00BC701D">
        <w:rPr>
          <w:rFonts w:ascii="Arial" w:hAnsi="Arial" w:cs="Arial"/>
          <w:sz w:val="20"/>
          <w:szCs w:val="20"/>
          <w:lang w:val="es-ES_tradnl"/>
        </w:rPr>
        <w:t xml:space="preserve"> consideran firmes y definitivas para su liquidación durante el Período de Entrega, siendo objeto, diariamente, de una liquidación puramente financiera por parte de OMIClear.</w:t>
      </w:r>
    </w:p>
    <w:p w14:paraId="0FCC466D" w14:textId="77777777" w:rsidR="00CF1E8F" w:rsidRDefault="00CF1E8F" w:rsidP="00CF1E8F">
      <w:pPr>
        <w:pStyle w:val="PargrafodaLista"/>
        <w:spacing w:before="60" w:after="60"/>
        <w:ind w:left="426" w:hanging="426"/>
        <w:contextualSpacing w:val="0"/>
        <w:jc w:val="both"/>
        <w:rPr>
          <w:rFonts w:ascii="Arial" w:hAnsi="Arial" w:cs="Arial"/>
          <w:sz w:val="20"/>
          <w:szCs w:val="20"/>
          <w:lang w:val="es-ES_tradnl"/>
        </w:rPr>
      </w:pPr>
      <w:r w:rsidRPr="00BC701D">
        <w:rPr>
          <w:rFonts w:ascii="Arial" w:hAnsi="Arial" w:cs="Arial"/>
          <w:sz w:val="20"/>
          <w:szCs w:val="20"/>
          <w:lang w:val="es-ES_tradnl"/>
        </w:rPr>
        <w:t>3.</w:t>
      </w:r>
      <w:r w:rsidRPr="00BC701D">
        <w:rPr>
          <w:rFonts w:ascii="Arial" w:hAnsi="Arial" w:cs="Arial"/>
          <w:sz w:val="20"/>
          <w:szCs w:val="20"/>
          <w:lang w:val="es-ES_tradnl"/>
        </w:rPr>
        <w:tab/>
        <w:t>OMIClear procesa diariamente la liquidación financiera del Valor de Liquidación en la Entrega (VLE), definido como la diferencia entre el PRS y el PRN en el UDN, estando subyacente el suministro/recepción nocional de energía eléctrica a una potencia constante durante el número de horas de cada día del Período de Entrega, de acuerdo con la fórmula siguiente, que consta en la Circular de OMIClear:</w:t>
      </w:r>
    </w:p>
    <w:p w14:paraId="2AB68B75" w14:textId="77777777" w:rsidR="0097495C" w:rsidRDefault="00AE3F67" w:rsidP="00A1738B">
      <w:pPr>
        <w:spacing w:before="60" w:after="60"/>
        <w:jc w:val="center"/>
        <w:rPr>
          <w:rFonts w:ascii="Arial" w:hAnsi="Arial" w:cs="Arial"/>
          <w:sz w:val="20"/>
          <w:szCs w:val="20"/>
          <w:lang w:val="es-ES_tradnl"/>
        </w:rPr>
      </w:pPr>
      <w:r w:rsidRPr="00A1738B">
        <w:rPr>
          <w:rFonts w:ascii="Arial" w:hAnsi="Arial" w:cs="Arial"/>
          <w:position w:val="-28"/>
          <w:sz w:val="20"/>
          <w:szCs w:val="20"/>
          <w:lang w:val="es-ES"/>
        </w:rPr>
        <w:object w:dxaOrig="3980" w:dyaOrig="680" w14:anchorId="10C29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6pt;height:33pt" o:ole="">
            <v:imagedata r:id="rId16" o:title=""/>
          </v:shape>
          <o:OLEObject Type="Embed" ProgID="Equation.3" ShapeID="_x0000_i1025" DrawAspect="Content" ObjectID="_1679843736" r:id="rId17"/>
        </w:object>
      </w:r>
    </w:p>
    <w:p w14:paraId="3810C266" w14:textId="77777777" w:rsidR="00A1738B" w:rsidRPr="00A1738B" w:rsidRDefault="00A1738B" w:rsidP="00A1738B">
      <w:pPr>
        <w:spacing w:before="60" w:after="60"/>
        <w:ind w:firstLine="708"/>
        <w:jc w:val="both"/>
        <w:rPr>
          <w:rFonts w:ascii="Arial" w:hAnsi="Arial" w:cs="Arial"/>
          <w:sz w:val="20"/>
          <w:szCs w:val="20"/>
          <w:lang w:val="es-ES_tradnl"/>
        </w:rPr>
      </w:pPr>
      <w:r w:rsidRPr="00A1738B">
        <w:rPr>
          <w:rFonts w:ascii="Arial" w:hAnsi="Arial" w:cs="Arial"/>
          <w:sz w:val="20"/>
          <w:szCs w:val="20"/>
          <w:lang w:val="es-ES_tradnl"/>
        </w:rPr>
        <w:t>Siendo,</w:t>
      </w:r>
    </w:p>
    <w:p w14:paraId="75FE940D" w14:textId="77777777" w:rsidR="00A1738B" w:rsidRPr="00A1738B" w:rsidRDefault="00A1738B" w:rsidP="00A1738B">
      <w:pPr>
        <w:spacing w:before="60" w:after="60"/>
        <w:ind w:left="708" w:firstLine="708"/>
        <w:jc w:val="both"/>
        <w:rPr>
          <w:rFonts w:ascii="Arial" w:hAnsi="Arial" w:cs="Arial"/>
          <w:sz w:val="20"/>
          <w:szCs w:val="20"/>
          <w:lang w:val="es-ES_tradnl"/>
        </w:rPr>
      </w:pPr>
      <w:proofErr w:type="spellStart"/>
      <w:r w:rsidRPr="00AE3F67">
        <w:rPr>
          <w:rFonts w:ascii="Arial" w:hAnsi="Arial" w:cs="Arial"/>
          <w:i/>
          <w:sz w:val="20"/>
          <w:szCs w:val="20"/>
          <w:lang w:val="es-ES_tradnl"/>
        </w:rPr>
        <w:t>VLE</w:t>
      </w:r>
      <w:r w:rsidRPr="00AE3F67">
        <w:rPr>
          <w:rFonts w:ascii="Arial" w:hAnsi="Arial" w:cs="Arial"/>
          <w:i/>
          <w:sz w:val="20"/>
          <w:szCs w:val="20"/>
          <w:vertAlign w:val="subscript"/>
          <w:lang w:val="es-ES_tradnl"/>
        </w:rPr>
        <w:t>d</w:t>
      </w:r>
      <w:proofErr w:type="spellEnd"/>
      <w:r w:rsidRPr="00A1738B">
        <w:rPr>
          <w:rFonts w:ascii="Arial" w:hAnsi="Arial" w:cs="Arial"/>
          <w:sz w:val="20"/>
          <w:szCs w:val="20"/>
          <w:lang w:val="es-ES_tradnl"/>
        </w:rPr>
        <w:t xml:space="preserve"> = Valor de Liquidación en la Entrega relativo al día de entrega d;</w:t>
      </w:r>
    </w:p>
    <w:p w14:paraId="42829E20" w14:textId="77777777" w:rsidR="00A1738B" w:rsidRPr="00A1738B" w:rsidRDefault="00A1738B" w:rsidP="00A1738B">
      <w:pPr>
        <w:spacing w:before="60" w:after="60"/>
        <w:ind w:left="1416"/>
        <w:jc w:val="both"/>
        <w:rPr>
          <w:rFonts w:ascii="Arial" w:hAnsi="Arial" w:cs="Arial"/>
          <w:sz w:val="20"/>
          <w:szCs w:val="20"/>
          <w:lang w:val="es-ES_tradnl"/>
        </w:rPr>
      </w:pPr>
      <w:r w:rsidRPr="00AE3F67">
        <w:rPr>
          <w:rFonts w:ascii="Arial" w:hAnsi="Arial" w:cs="Arial"/>
          <w:i/>
          <w:sz w:val="20"/>
          <w:szCs w:val="20"/>
          <w:lang w:val="es-ES_tradnl"/>
        </w:rPr>
        <w:t>H</w:t>
      </w:r>
      <w:r w:rsidRPr="00A1738B">
        <w:rPr>
          <w:rFonts w:ascii="Arial" w:hAnsi="Arial" w:cs="Arial"/>
          <w:sz w:val="20"/>
          <w:szCs w:val="20"/>
          <w:lang w:val="es-ES_tradnl"/>
        </w:rPr>
        <w:t xml:space="preserve"> = Número de horas subyacente al día de entrega d</w:t>
      </w:r>
      <w:r w:rsidRPr="00A1738B">
        <w:rPr>
          <w:rStyle w:val="Refdenotaderodap"/>
          <w:rFonts w:ascii="Arial" w:hAnsi="Arial" w:cs="Arial"/>
          <w:sz w:val="20"/>
          <w:szCs w:val="20"/>
          <w:lang w:val="es-ES_tradnl"/>
        </w:rPr>
        <w:footnoteReference w:id="1"/>
      </w:r>
      <w:r w:rsidRPr="00A1738B">
        <w:rPr>
          <w:rFonts w:ascii="Arial" w:hAnsi="Arial" w:cs="Arial"/>
          <w:sz w:val="20"/>
          <w:szCs w:val="20"/>
          <w:lang w:val="es-ES_tradnl"/>
        </w:rPr>
        <w:t xml:space="preserve"> ;</w:t>
      </w:r>
    </w:p>
    <w:p w14:paraId="27F8FE94" w14:textId="77777777" w:rsidR="00A1738B" w:rsidRPr="00A1738B" w:rsidRDefault="00A1738B" w:rsidP="00A1738B">
      <w:pPr>
        <w:spacing w:before="60" w:after="60"/>
        <w:ind w:left="708" w:firstLine="708"/>
        <w:jc w:val="both"/>
        <w:rPr>
          <w:rFonts w:ascii="Arial" w:hAnsi="Arial" w:cs="Arial"/>
          <w:sz w:val="20"/>
          <w:szCs w:val="20"/>
          <w:lang w:val="es-ES_tradnl"/>
        </w:rPr>
      </w:pPr>
      <w:r w:rsidRPr="00AE3F67">
        <w:rPr>
          <w:rFonts w:ascii="Arial" w:hAnsi="Arial" w:cs="Arial"/>
          <w:i/>
          <w:sz w:val="20"/>
          <w:szCs w:val="20"/>
          <w:lang w:val="es-ES_tradnl"/>
        </w:rPr>
        <w:t xml:space="preserve">PRS </w:t>
      </w:r>
      <w:r w:rsidRPr="00A1738B">
        <w:rPr>
          <w:rFonts w:ascii="Arial" w:hAnsi="Arial" w:cs="Arial"/>
          <w:sz w:val="20"/>
          <w:szCs w:val="20"/>
          <w:lang w:val="es-ES_tradnl"/>
        </w:rPr>
        <w:t>= Precio de Referencia Spot para el día de entrega d;</w:t>
      </w:r>
    </w:p>
    <w:p w14:paraId="164B3C26" w14:textId="77777777" w:rsidR="00A1738B" w:rsidRPr="00A1738B" w:rsidRDefault="00A1738B" w:rsidP="00A1738B">
      <w:pPr>
        <w:spacing w:before="60" w:after="60"/>
        <w:ind w:left="1416"/>
        <w:jc w:val="both"/>
        <w:rPr>
          <w:rFonts w:ascii="Arial" w:hAnsi="Arial" w:cs="Arial"/>
          <w:sz w:val="20"/>
          <w:szCs w:val="20"/>
          <w:lang w:val="es-ES_tradnl"/>
        </w:rPr>
      </w:pPr>
      <w:proofErr w:type="spellStart"/>
      <w:r w:rsidRPr="00AE3F67">
        <w:rPr>
          <w:rFonts w:ascii="Arial" w:hAnsi="Arial" w:cs="Arial"/>
          <w:i/>
          <w:sz w:val="20"/>
          <w:szCs w:val="20"/>
          <w:lang w:val="es-ES_tradnl"/>
        </w:rPr>
        <w:t>PRN</w:t>
      </w:r>
      <w:r w:rsidRPr="00AE3F67">
        <w:rPr>
          <w:rFonts w:ascii="Arial" w:hAnsi="Arial" w:cs="Arial"/>
          <w:i/>
          <w:sz w:val="20"/>
          <w:szCs w:val="20"/>
          <w:vertAlign w:val="subscript"/>
          <w:lang w:val="es-ES_tradnl"/>
        </w:rPr>
        <w:t>i</w:t>
      </w:r>
      <w:proofErr w:type="spellEnd"/>
      <w:r w:rsidRPr="00A1738B">
        <w:rPr>
          <w:rFonts w:ascii="Arial" w:hAnsi="Arial" w:cs="Arial"/>
          <w:sz w:val="20"/>
          <w:szCs w:val="20"/>
          <w:lang w:val="es-ES_tradnl"/>
        </w:rPr>
        <w:t xml:space="preserve"> = Precio de Referencia de Negociación en el UDN del Contrato i (con entrega el día d);</w:t>
      </w:r>
    </w:p>
    <w:p w14:paraId="5F4F431D" w14:textId="77777777" w:rsidR="00A1738B" w:rsidRPr="00A1738B" w:rsidRDefault="00A1738B" w:rsidP="00A1738B">
      <w:pPr>
        <w:spacing w:before="60" w:after="60"/>
        <w:ind w:left="1416"/>
        <w:jc w:val="both"/>
        <w:rPr>
          <w:rFonts w:ascii="Arial" w:hAnsi="Arial" w:cs="Arial"/>
          <w:sz w:val="20"/>
          <w:szCs w:val="20"/>
          <w:lang w:val="es-ES_tradnl"/>
        </w:rPr>
      </w:pPr>
      <w:proofErr w:type="spellStart"/>
      <w:r w:rsidRPr="00AE3F67">
        <w:rPr>
          <w:rFonts w:ascii="Arial" w:hAnsi="Arial" w:cs="Arial"/>
          <w:i/>
          <w:sz w:val="20"/>
          <w:szCs w:val="20"/>
          <w:lang w:val="es-ES_tradnl"/>
        </w:rPr>
        <w:lastRenderedPageBreak/>
        <w:t>QF</w:t>
      </w:r>
      <w:r w:rsidRPr="00AE3F67">
        <w:rPr>
          <w:rFonts w:ascii="Arial" w:hAnsi="Arial" w:cs="Arial"/>
          <w:i/>
          <w:sz w:val="20"/>
          <w:szCs w:val="20"/>
          <w:vertAlign w:val="subscript"/>
          <w:lang w:val="es-ES_tradnl"/>
        </w:rPr>
        <w:t>i</w:t>
      </w:r>
      <w:proofErr w:type="spellEnd"/>
      <w:r w:rsidRPr="00A1738B">
        <w:rPr>
          <w:rFonts w:ascii="Arial" w:hAnsi="Arial" w:cs="Arial"/>
          <w:sz w:val="20"/>
          <w:szCs w:val="20"/>
          <w:lang w:val="es-ES_tradnl"/>
        </w:rPr>
        <w:t xml:space="preserve"> = Posición abierta (final) del Contrato i (con entrega el día d) al final de la sesión del UDN;</w:t>
      </w:r>
    </w:p>
    <w:p w14:paraId="7ECE8A0C" w14:textId="77777777" w:rsidR="00A1738B" w:rsidRPr="00A1738B" w:rsidRDefault="00A1738B" w:rsidP="00A1738B">
      <w:pPr>
        <w:spacing w:before="60" w:after="60"/>
        <w:ind w:left="708" w:firstLine="708"/>
        <w:jc w:val="both"/>
        <w:rPr>
          <w:rFonts w:ascii="Arial" w:hAnsi="Arial" w:cs="Arial"/>
          <w:sz w:val="20"/>
          <w:szCs w:val="20"/>
          <w:lang w:val="es-ES_tradnl"/>
        </w:rPr>
      </w:pPr>
      <w:r w:rsidRPr="00AE3F67">
        <w:rPr>
          <w:rFonts w:ascii="Arial" w:hAnsi="Arial" w:cs="Arial"/>
          <w:i/>
          <w:sz w:val="20"/>
          <w:szCs w:val="20"/>
          <w:lang w:val="es-ES_tradnl"/>
        </w:rPr>
        <w:t xml:space="preserve">i </w:t>
      </w:r>
      <w:r w:rsidRPr="00A1738B">
        <w:rPr>
          <w:rFonts w:ascii="Arial" w:hAnsi="Arial" w:cs="Arial"/>
          <w:sz w:val="20"/>
          <w:szCs w:val="20"/>
          <w:lang w:val="es-ES_tradnl"/>
        </w:rPr>
        <w:t xml:space="preserve">= Contrato con entrega el día d; </w:t>
      </w:r>
    </w:p>
    <w:p w14:paraId="5492D862" w14:textId="77777777" w:rsidR="0097495C" w:rsidRPr="00A1738B" w:rsidRDefault="00A1738B" w:rsidP="00A1738B">
      <w:pPr>
        <w:spacing w:before="60" w:after="60"/>
        <w:ind w:left="708" w:firstLine="708"/>
        <w:jc w:val="both"/>
        <w:rPr>
          <w:rFonts w:ascii="Arial" w:hAnsi="Arial" w:cs="Arial"/>
          <w:sz w:val="20"/>
          <w:szCs w:val="20"/>
          <w:lang w:val="es-ES_tradnl"/>
        </w:rPr>
      </w:pPr>
      <w:r w:rsidRPr="00AE3F67">
        <w:rPr>
          <w:rFonts w:ascii="Arial" w:hAnsi="Arial" w:cs="Arial"/>
          <w:i/>
          <w:sz w:val="20"/>
          <w:szCs w:val="20"/>
          <w:lang w:val="es-ES_tradnl"/>
        </w:rPr>
        <w:t>n</w:t>
      </w:r>
      <w:r w:rsidRPr="00A1738B">
        <w:rPr>
          <w:rFonts w:ascii="Arial" w:hAnsi="Arial" w:cs="Arial"/>
          <w:sz w:val="20"/>
          <w:szCs w:val="20"/>
          <w:lang w:val="es-ES_tradnl"/>
        </w:rPr>
        <w:t xml:space="preserve"> = Número total de Contratos con entrega el día d.</w:t>
      </w:r>
    </w:p>
    <w:p w14:paraId="20840258" w14:textId="77777777" w:rsidR="0097495C" w:rsidRDefault="00A1738B" w:rsidP="00A1738B">
      <w:pPr>
        <w:pStyle w:val="PargrafodaLista"/>
        <w:spacing w:before="60" w:after="60"/>
        <w:ind w:left="426" w:hanging="426"/>
        <w:contextualSpacing w:val="0"/>
        <w:jc w:val="both"/>
        <w:rPr>
          <w:rFonts w:ascii="Arial" w:hAnsi="Arial" w:cs="Arial"/>
          <w:sz w:val="20"/>
          <w:szCs w:val="20"/>
          <w:lang w:val="es-ES_tradnl"/>
        </w:rPr>
      </w:pPr>
      <w:r w:rsidRPr="00A1738B">
        <w:rPr>
          <w:rFonts w:ascii="Arial" w:hAnsi="Arial" w:cs="Arial"/>
          <w:sz w:val="20"/>
          <w:szCs w:val="20"/>
          <w:lang w:val="es-ES_tradnl"/>
        </w:rPr>
        <w:t>4.</w:t>
      </w:r>
      <w:r w:rsidRPr="00A1738B">
        <w:rPr>
          <w:rFonts w:ascii="Arial" w:hAnsi="Arial" w:cs="Arial"/>
          <w:sz w:val="20"/>
          <w:szCs w:val="20"/>
          <w:lang w:val="es-ES_tradnl"/>
        </w:rPr>
        <w:tab/>
        <w:t>Los procedimientos relativos a la liquidación financiera del VLE están definidos en Circular de OMIClear.</w:t>
      </w:r>
    </w:p>
    <w:p w14:paraId="035A9C2D" w14:textId="77777777" w:rsidR="0097495C" w:rsidRDefault="0097495C" w:rsidP="00CF5FED">
      <w:pPr>
        <w:spacing w:before="60" w:after="60"/>
        <w:jc w:val="both"/>
        <w:rPr>
          <w:rFonts w:ascii="Arial" w:hAnsi="Arial" w:cs="Arial"/>
          <w:sz w:val="20"/>
          <w:szCs w:val="20"/>
          <w:lang w:val="es-ES_tradnl"/>
        </w:rPr>
      </w:pPr>
    </w:p>
    <w:p w14:paraId="46261249" w14:textId="77777777" w:rsidR="00A1738B" w:rsidRPr="00A1738B" w:rsidRDefault="00A1738B" w:rsidP="00A1738B">
      <w:pPr>
        <w:spacing w:before="60" w:after="60"/>
        <w:jc w:val="both"/>
        <w:rPr>
          <w:rFonts w:ascii="Arial" w:hAnsi="Arial" w:cs="Arial"/>
          <w:b/>
          <w:color w:val="92D050"/>
          <w:sz w:val="20"/>
          <w:szCs w:val="28"/>
          <w:lang w:val="es-ES_tradnl"/>
        </w:rPr>
      </w:pPr>
      <w:r w:rsidRPr="00A1738B">
        <w:rPr>
          <w:rFonts w:ascii="Arial" w:hAnsi="Arial" w:cs="Arial"/>
          <w:b/>
          <w:color w:val="92D050"/>
          <w:sz w:val="20"/>
          <w:szCs w:val="28"/>
          <w:lang w:val="es-ES_tradnl"/>
        </w:rPr>
        <w:t>Cláusula 1</w:t>
      </w:r>
      <w:r w:rsidR="00AE3F67">
        <w:rPr>
          <w:rFonts w:ascii="Arial" w:hAnsi="Arial" w:cs="Arial"/>
          <w:b/>
          <w:color w:val="92D050"/>
          <w:sz w:val="20"/>
          <w:szCs w:val="28"/>
          <w:lang w:val="es-ES_tradnl"/>
        </w:rPr>
        <w:t>9</w:t>
      </w:r>
      <w:r w:rsidRPr="00A1738B">
        <w:rPr>
          <w:rFonts w:ascii="Arial" w:hAnsi="Arial" w:cs="Arial"/>
          <w:b/>
          <w:color w:val="92D050"/>
          <w:sz w:val="20"/>
          <w:szCs w:val="28"/>
          <w:lang w:val="es-ES_tradnl"/>
        </w:rPr>
        <w:t>ª – Interpretación e Integración</w:t>
      </w:r>
    </w:p>
    <w:p w14:paraId="3D984D3E" w14:textId="77777777" w:rsidR="00A1738B" w:rsidRPr="00A1738B" w:rsidRDefault="00A1738B" w:rsidP="00A1738B">
      <w:pPr>
        <w:pStyle w:val="PargrafodaLista"/>
        <w:spacing w:before="60" w:after="60"/>
        <w:ind w:left="426" w:hanging="426"/>
        <w:contextualSpacing w:val="0"/>
        <w:jc w:val="both"/>
        <w:rPr>
          <w:rFonts w:ascii="Arial" w:hAnsi="Arial" w:cs="Arial"/>
          <w:sz w:val="20"/>
          <w:szCs w:val="20"/>
          <w:lang w:val="es-ES_tradnl"/>
        </w:rPr>
      </w:pPr>
      <w:r w:rsidRPr="00A1738B">
        <w:rPr>
          <w:rFonts w:ascii="Arial" w:hAnsi="Arial" w:cs="Arial"/>
          <w:sz w:val="20"/>
          <w:szCs w:val="20"/>
          <w:lang w:val="es-ES_tradnl"/>
        </w:rPr>
        <w:t>1.</w:t>
      </w:r>
      <w:r w:rsidRPr="00A1738B">
        <w:rPr>
          <w:rFonts w:ascii="Arial" w:hAnsi="Arial" w:cs="Arial"/>
          <w:sz w:val="20"/>
          <w:szCs w:val="20"/>
          <w:lang w:val="es-ES_tradnl"/>
        </w:rPr>
        <w:tab/>
        <w:t>La interpretación y la integración de las presentes Cláusulas Contractuales Generales se efectúan de acuerdo con las Reglas del Mercado.</w:t>
      </w:r>
    </w:p>
    <w:p w14:paraId="16D80B62" w14:textId="77777777" w:rsidR="00A1738B" w:rsidRPr="00A1738B" w:rsidRDefault="00A1738B" w:rsidP="00A1738B">
      <w:pPr>
        <w:pStyle w:val="PargrafodaLista"/>
        <w:spacing w:before="60" w:after="60"/>
        <w:ind w:left="426" w:hanging="426"/>
        <w:contextualSpacing w:val="0"/>
        <w:jc w:val="both"/>
        <w:rPr>
          <w:rFonts w:ascii="Arial" w:hAnsi="Arial" w:cs="Arial"/>
          <w:sz w:val="20"/>
          <w:szCs w:val="20"/>
          <w:lang w:val="es-ES_tradnl"/>
        </w:rPr>
      </w:pPr>
      <w:r w:rsidRPr="00A1738B">
        <w:rPr>
          <w:rFonts w:ascii="Arial" w:hAnsi="Arial" w:cs="Arial"/>
          <w:sz w:val="20"/>
          <w:szCs w:val="20"/>
          <w:lang w:val="es-ES_tradnl"/>
        </w:rPr>
        <w:t>2.</w:t>
      </w:r>
      <w:r w:rsidRPr="00A1738B">
        <w:rPr>
          <w:rFonts w:ascii="Arial" w:hAnsi="Arial" w:cs="Arial"/>
          <w:sz w:val="20"/>
          <w:szCs w:val="20"/>
          <w:lang w:val="es-ES_tradnl"/>
        </w:rPr>
        <w:tab/>
        <w:t>Siempre que en las Reglas del Mercado se haga referencia a Contratos de Futuros MIBEL Base o a Contratos de Futuros MIBEL Base Financieros, la misma debe ser entendida como aplicable a los Contratos de Futuros MIBEL PTEL Base Financieros.</w:t>
      </w:r>
    </w:p>
    <w:p w14:paraId="7939697E" w14:textId="77777777" w:rsidR="00A1738B" w:rsidRPr="00A1738B" w:rsidRDefault="00A1738B" w:rsidP="00A1738B">
      <w:pPr>
        <w:spacing w:before="60" w:after="60"/>
        <w:jc w:val="both"/>
        <w:rPr>
          <w:rFonts w:ascii="Arial" w:hAnsi="Arial" w:cs="Arial"/>
          <w:sz w:val="20"/>
          <w:szCs w:val="20"/>
          <w:lang w:val="es-ES_tradnl"/>
        </w:rPr>
      </w:pPr>
    </w:p>
    <w:p w14:paraId="2A90FE23" w14:textId="77777777" w:rsidR="00A1738B" w:rsidRPr="00A1738B" w:rsidRDefault="00A1738B" w:rsidP="00A1738B">
      <w:pPr>
        <w:spacing w:before="60" w:after="60"/>
        <w:jc w:val="both"/>
        <w:rPr>
          <w:rFonts w:ascii="Arial" w:hAnsi="Arial" w:cs="Arial"/>
          <w:b/>
          <w:color w:val="92D050"/>
          <w:sz w:val="20"/>
          <w:szCs w:val="28"/>
          <w:lang w:val="es-ES_tradnl"/>
        </w:rPr>
      </w:pPr>
      <w:r w:rsidRPr="00A1738B">
        <w:rPr>
          <w:rFonts w:ascii="Arial" w:hAnsi="Arial" w:cs="Arial"/>
          <w:b/>
          <w:color w:val="92D050"/>
          <w:sz w:val="20"/>
          <w:szCs w:val="28"/>
          <w:lang w:val="es-ES_tradnl"/>
        </w:rPr>
        <w:t xml:space="preserve">Cláusula </w:t>
      </w:r>
      <w:r w:rsidR="00AE3F67">
        <w:rPr>
          <w:rFonts w:ascii="Arial" w:hAnsi="Arial" w:cs="Arial"/>
          <w:b/>
          <w:color w:val="92D050"/>
          <w:sz w:val="20"/>
          <w:szCs w:val="28"/>
          <w:lang w:val="es-ES_tradnl"/>
        </w:rPr>
        <w:t>20</w:t>
      </w:r>
      <w:r w:rsidRPr="00A1738B">
        <w:rPr>
          <w:rFonts w:ascii="Arial" w:hAnsi="Arial" w:cs="Arial"/>
          <w:b/>
          <w:color w:val="92D050"/>
          <w:sz w:val="20"/>
          <w:szCs w:val="28"/>
          <w:lang w:val="es-ES_tradnl"/>
        </w:rPr>
        <w:t>ª – Aplicación</w:t>
      </w:r>
    </w:p>
    <w:p w14:paraId="60FA294F" w14:textId="490E41C1" w:rsidR="00660452" w:rsidRDefault="00660452" w:rsidP="00660452">
      <w:pPr>
        <w:spacing w:before="60" w:after="60"/>
        <w:jc w:val="both"/>
        <w:rPr>
          <w:rFonts w:ascii="Arial" w:hAnsi="Arial" w:cs="Arial"/>
          <w:sz w:val="20"/>
          <w:szCs w:val="20"/>
          <w:lang w:val="es-ES_tradnl"/>
        </w:rPr>
      </w:pPr>
      <w:bookmarkStart w:id="1" w:name="_Hlk43281003"/>
      <w:r w:rsidRPr="003E4C0B">
        <w:rPr>
          <w:rFonts w:ascii="Arial" w:hAnsi="Arial" w:cs="Arial"/>
          <w:sz w:val="20"/>
          <w:szCs w:val="20"/>
          <w:lang w:val="es-ES_tradnl"/>
        </w:rPr>
        <w:t xml:space="preserve">Las presentes Cláusulas Contractuales Generales han sido </w:t>
      </w:r>
      <w:r>
        <w:rPr>
          <w:rFonts w:ascii="Arial" w:hAnsi="Arial" w:cs="Arial"/>
          <w:sz w:val="20"/>
          <w:szCs w:val="20"/>
          <w:lang w:val="es-ES_tradnl"/>
        </w:rPr>
        <w:t>registradas en</w:t>
      </w:r>
      <w:r w:rsidRPr="003E4C0B">
        <w:rPr>
          <w:rFonts w:ascii="Arial" w:hAnsi="Arial" w:cs="Arial"/>
          <w:sz w:val="20"/>
          <w:szCs w:val="20"/>
          <w:lang w:val="es-ES_tradnl"/>
        </w:rPr>
        <w:t xml:space="preserve"> </w:t>
      </w:r>
      <w:r>
        <w:rPr>
          <w:rFonts w:ascii="Arial" w:hAnsi="Arial" w:cs="Arial"/>
          <w:sz w:val="20"/>
          <w:szCs w:val="20"/>
          <w:lang w:val="es-ES_tradnl"/>
        </w:rPr>
        <w:t xml:space="preserve">la </w:t>
      </w:r>
      <w:r w:rsidRPr="003E4C0B">
        <w:rPr>
          <w:rFonts w:ascii="Arial" w:hAnsi="Arial" w:cs="Arial"/>
          <w:sz w:val="20"/>
          <w:szCs w:val="20"/>
          <w:lang w:val="es-ES_tradnl"/>
        </w:rPr>
        <w:t xml:space="preserve">CMVM el día </w:t>
      </w:r>
      <w:r w:rsidR="006A7F9A">
        <w:rPr>
          <w:rFonts w:ascii="Arial" w:hAnsi="Arial" w:cs="Arial"/>
          <w:sz w:val="20"/>
          <w:szCs w:val="20"/>
          <w:lang w:val="es-ES_tradnl"/>
        </w:rPr>
        <w:t>9</w:t>
      </w:r>
      <w:r w:rsidR="006A2C8F">
        <w:rPr>
          <w:rFonts w:ascii="Arial" w:hAnsi="Arial" w:cs="Arial"/>
          <w:sz w:val="20"/>
          <w:szCs w:val="20"/>
          <w:lang w:val="es-ES_tradnl"/>
        </w:rPr>
        <w:t xml:space="preserve"> </w:t>
      </w:r>
      <w:r>
        <w:rPr>
          <w:rFonts w:ascii="Arial" w:hAnsi="Arial" w:cs="Arial"/>
          <w:sz w:val="20"/>
          <w:szCs w:val="20"/>
          <w:lang w:val="es-ES_tradnl"/>
        </w:rPr>
        <w:t xml:space="preserve">de </w:t>
      </w:r>
      <w:r w:rsidR="006A7F9A">
        <w:rPr>
          <w:rFonts w:ascii="Arial" w:hAnsi="Arial" w:cs="Arial"/>
          <w:sz w:val="20"/>
          <w:szCs w:val="20"/>
          <w:lang w:val="es-ES_tradnl"/>
        </w:rPr>
        <w:t>febrero</w:t>
      </w:r>
      <w:r w:rsidR="006A2C8F">
        <w:rPr>
          <w:rFonts w:ascii="Arial" w:hAnsi="Arial" w:cs="Arial"/>
          <w:sz w:val="20"/>
          <w:szCs w:val="20"/>
          <w:lang w:val="es-ES_tradnl"/>
        </w:rPr>
        <w:t xml:space="preserve"> </w:t>
      </w:r>
      <w:r>
        <w:rPr>
          <w:rFonts w:ascii="Arial" w:hAnsi="Arial" w:cs="Arial"/>
          <w:sz w:val="20"/>
          <w:szCs w:val="20"/>
          <w:lang w:val="es-ES_tradnl"/>
        </w:rPr>
        <w:t xml:space="preserve">de </w:t>
      </w:r>
      <w:r w:rsidR="006A2C8F">
        <w:rPr>
          <w:rFonts w:ascii="Arial" w:hAnsi="Arial" w:cs="Arial"/>
          <w:sz w:val="20"/>
          <w:szCs w:val="20"/>
          <w:lang w:val="es-ES_tradnl"/>
        </w:rPr>
        <w:t xml:space="preserve">2021 </w:t>
      </w:r>
      <w:r w:rsidRPr="003E4C0B">
        <w:rPr>
          <w:rFonts w:ascii="Arial" w:hAnsi="Arial" w:cs="Arial"/>
          <w:sz w:val="20"/>
          <w:szCs w:val="20"/>
          <w:lang w:val="es-ES_tradnl"/>
        </w:rPr>
        <w:t xml:space="preserve">y entran en vigor el día </w:t>
      </w:r>
      <w:r w:rsidR="006A7F9A">
        <w:rPr>
          <w:rFonts w:ascii="Arial" w:hAnsi="Arial" w:cs="Arial"/>
          <w:sz w:val="20"/>
          <w:szCs w:val="20"/>
          <w:lang w:val="es-ES_tradnl"/>
        </w:rPr>
        <w:t>19</w:t>
      </w:r>
      <w:r w:rsidR="006A2C8F">
        <w:rPr>
          <w:rFonts w:ascii="Arial" w:hAnsi="Arial" w:cs="Arial"/>
          <w:sz w:val="20"/>
          <w:szCs w:val="20"/>
          <w:lang w:val="es-ES_tradnl"/>
        </w:rPr>
        <w:t xml:space="preserve"> </w:t>
      </w:r>
      <w:r>
        <w:rPr>
          <w:rFonts w:ascii="Arial" w:hAnsi="Arial" w:cs="Arial"/>
          <w:sz w:val="20"/>
          <w:szCs w:val="20"/>
          <w:lang w:val="es-ES_tradnl"/>
        </w:rPr>
        <w:t xml:space="preserve">de </w:t>
      </w:r>
      <w:r w:rsidR="006A7F9A">
        <w:rPr>
          <w:rFonts w:ascii="Arial" w:hAnsi="Arial" w:cs="Arial"/>
          <w:sz w:val="20"/>
          <w:szCs w:val="20"/>
          <w:lang w:val="es-ES_tradnl"/>
        </w:rPr>
        <w:t>abril</w:t>
      </w:r>
      <w:r w:rsidR="006A2C8F">
        <w:rPr>
          <w:rFonts w:ascii="Arial" w:hAnsi="Arial" w:cs="Arial"/>
          <w:sz w:val="20"/>
          <w:szCs w:val="20"/>
          <w:lang w:val="es-ES_tradnl"/>
        </w:rPr>
        <w:t xml:space="preserve"> </w:t>
      </w:r>
      <w:r>
        <w:rPr>
          <w:rFonts w:ascii="Arial" w:hAnsi="Arial" w:cs="Arial"/>
          <w:sz w:val="20"/>
          <w:szCs w:val="20"/>
          <w:lang w:val="es-ES_tradnl"/>
        </w:rPr>
        <w:t xml:space="preserve">de </w:t>
      </w:r>
      <w:r w:rsidR="006A2C8F">
        <w:rPr>
          <w:rFonts w:ascii="Arial" w:hAnsi="Arial" w:cs="Arial"/>
          <w:sz w:val="20"/>
          <w:szCs w:val="20"/>
          <w:lang w:val="es-ES_tradnl"/>
        </w:rPr>
        <w:t>2021</w:t>
      </w:r>
      <w:r w:rsidRPr="003E4C0B">
        <w:rPr>
          <w:rFonts w:ascii="Arial" w:hAnsi="Arial" w:cs="Arial"/>
          <w:sz w:val="20"/>
          <w:szCs w:val="20"/>
          <w:lang w:val="es-ES_tradnl"/>
        </w:rPr>
        <w:t>.</w:t>
      </w:r>
    </w:p>
    <w:bookmarkEnd w:id="1"/>
    <w:p w14:paraId="15EDA9F0" w14:textId="77777777" w:rsidR="003E4C0B" w:rsidRDefault="003E4C0B" w:rsidP="00CF5FED">
      <w:pPr>
        <w:spacing w:before="60" w:after="60"/>
        <w:jc w:val="both"/>
        <w:rPr>
          <w:rFonts w:ascii="Arial" w:hAnsi="Arial" w:cs="Arial"/>
          <w:sz w:val="20"/>
          <w:szCs w:val="20"/>
          <w:lang w:val="es-ES_tradnl"/>
        </w:rPr>
      </w:pPr>
    </w:p>
    <w:p w14:paraId="599D2072" w14:textId="77777777" w:rsidR="003E4C0B" w:rsidRPr="00A043AC" w:rsidRDefault="003E4C0B" w:rsidP="00CF5FED">
      <w:pPr>
        <w:spacing w:before="60" w:after="60"/>
        <w:jc w:val="both"/>
        <w:rPr>
          <w:rFonts w:ascii="Arial" w:hAnsi="Arial" w:cs="Arial"/>
          <w:sz w:val="20"/>
          <w:szCs w:val="20"/>
          <w:lang w:val="es-ES_tradnl"/>
        </w:rPr>
      </w:pPr>
    </w:p>
    <w:p w14:paraId="7BF2A175" w14:textId="77777777" w:rsidR="00A043AC" w:rsidRPr="00A043AC" w:rsidRDefault="00A043AC" w:rsidP="00CF5FED">
      <w:pPr>
        <w:spacing w:before="60" w:after="60"/>
        <w:jc w:val="both"/>
        <w:rPr>
          <w:rFonts w:ascii="Arial" w:hAnsi="Arial" w:cs="Arial"/>
          <w:sz w:val="20"/>
          <w:szCs w:val="20"/>
          <w:lang w:val="es-ES_tradnl"/>
        </w:rPr>
      </w:pPr>
    </w:p>
    <w:p w14:paraId="262902DC" w14:textId="77777777" w:rsidR="002D776F" w:rsidRPr="00A4296C" w:rsidRDefault="003E4C0B" w:rsidP="000414C1">
      <w:pPr>
        <w:jc w:val="right"/>
        <w:rPr>
          <w:sz w:val="20"/>
          <w:lang w:val="es-ES_tradnl"/>
        </w:rPr>
      </w:pPr>
      <w:r>
        <w:rPr>
          <w:rFonts w:ascii="Arial" w:hAnsi="Arial" w:cs="Arial"/>
          <w:i/>
          <w:sz w:val="18"/>
          <w:szCs w:val="20"/>
          <w:lang w:val="es-ES_tradnl"/>
        </w:rPr>
        <w:t>El Consejo de Administración</w:t>
      </w:r>
    </w:p>
    <w:sectPr w:rsidR="002D776F" w:rsidRPr="00A4296C" w:rsidSect="002E3600">
      <w:headerReference w:type="default" r:id="rId18"/>
      <w:footerReference w:type="default" r:id="rId19"/>
      <w:pgSz w:w="11906" w:h="16838"/>
      <w:pgMar w:top="2268" w:right="1418" w:bottom="1701" w:left="141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3DCCD" w14:textId="77777777" w:rsidR="00F7717B" w:rsidRDefault="00F7717B" w:rsidP="00053A79">
      <w:pPr>
        <w:spacing w:after="0" w:line="240" w:lineRule="auto"/>
      </w:pPr>
      <w:r>
        <w:separator/>
      </w:r>
    </w:p>
  </w:endnote>
  <w:endnote w:type="continuationSeparator" w:id="0">
    <w:p w14:paraId="554C3350" w14:textId="77777777" w:rsidR="00F7717B" w:rsidRDefault="00F7717B" w:rsidP="0005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DCB8" w14:textId="77777777" w:rsidR="00C83BC5" w:rsidRPr="002E3600" w:rsidRDefault="00C83BC5" w:rsidP="002E36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462468"/>
      <w:docPartObj>
        <w:docPartGallery w:val="Page Numbers (Bottom of Page)"/>
        <w:docPartUnique/>
      </w:docPartObj>
    </w:sdtPr>
    <w:sdtEndPr>
      <w:rPr>
        <w:sz w:val="16"/>
        <w:szCs w:val="16"/>
      </w:rPr>
    </w:sdtEndPr>
    <w:sdtContent>
      <w:sdt>
        <w:sdtPr>
          <w:rPr>
            <w:sz w:val="16"/>
            <w:szCs w:val="16"/>
          </w:rPr>
          <w:id w:val="1247148175"/>
          <w:docPartObj>
            <w:docPartGallery w:val="Page Numbers (Top of Page)"/>
            <w:docPartUnique/>
          </w:docPartObj>
        </w:sdtPr>
        <w:sdtEndPr/>
        <w:sdtContent>
          <w:p w14:paraId="2176B56F" w14:textId="77777777" w:rsidR="002E3600" w:rsidRPr="00F74914" w:rsidRDefault="002E3600" w:rsidP="00000419">
            <w:pPr>
              <w:pStyle w:val="Rodap"/>
              <w:tabs>
                <w:tab w:val="clear" w:pos="4252"/>
                <w:tab w:val="clear" w:pos="8504"/>
                <w:tab w:val="right" w:pos="9072"/>
              </w:tabs>
              <w:rPr>
                <w:sz w:val="16"/>
                <w:szCs w:val="16"/>
                <w:lang w:val="pt-PT"/>
              </w:rPr>
            </w:pPr>
            <w:r>
              <w:rPr>
                <w:rFonts w:ascii="Arial" w:hAnsi="Arial" w:cs="Arial"/>
                <w:noProof/>
                <w:color w:val="808080" w:themeColor="background1" w:themeShade="80"/>
                <w:sz w:val="16"/>
                <w:szCs w:val="16"/>
                <w:lang w:val="pt-PT" w:eastAsia="pt-PT"/>
              </w:rPr>
              <mc:AlternateContent>
                <mc:Choice Requires="wps">
                  <w:drawing>
                    <wp:anchor distT="0" distB="0" distL="114300" distR="114300" simplePos="0" relativeHeight="251659776" behindDoc="0" locked="0" layoutInCell="1" allowOverlap="1" wp14:anchorId="5456092F" wp14:editId="03AB39E1">
                      <wp:simplePos x="0" y="0"/>
                      <wp:positionH relativeFrom="page">
                        <wp:posOffset>720090</wp:posOffset>
                      </wp:positionH>
                      <wp:positionV relativeFrom="page">
                        <wp:posOffset>10023475</wp:posOffset>
                      </wp:positionV>
                      <wp:extent cx="72000" cy="360000"/>
                      <wp:effectExtent l="0" t="0" r="4445" b="2540"/>
                      <wp:wrapNone/>
                      <wp:docPr id="20" name="Rectângulo 20"/>
                      <wp:cNvGraphicFramePr/>
                      <a:graphic xmlns:a="http://schemas.openxmlformats.org/drawingml/2006/main">
                        <a:graphicData uri="http://schemas.microsoft.com/office/word/2010/wordprocessingShape">
                          <wps:wsp>
                            <wps:cNvSpPr/>
                            <wps:spPr>
                              <a:xfrm>
                                <a:off x="0" y="0"/>
                                <a:ext cx="72000" cy="36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CB682" id="Rectângulo 20" o:spid="_x0000_s1026" style="position:absolute;margin-left:56.7pt;margin-top:789.25pt;width:5.65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" fillcolor="#92d050" stroked="f" strokeweight="2pt">
                      <w10:wrap anchorx="page" anchory="page"/>
                    </v:rect>
                  </w:pict>
                </mc:Fallback>
              </mc:AlternateContent>
            </w:r>
            <w:r w:rsidR="00C01746" w:rsidRPr="00F74914">
              <w:rPr>
                <w:rFonts w:ascii="Arial" w:hAnsi="Arial" w:cs="Arial"/>
                <w:color w:val="808080" w:themeColor="background1" w:themeShade="80"/>
                <w:sz w:val="16"/>
                <w:szCs w:val="16"/>
                <w:lang w:val="pt-PT"/>
              </w:rPr>
              <w:t xml:space="preserve">Contratos de Futuros MIBEL PTEL Base </w:t>
            </w:r>
            <w:proofErr w:type="spellStart"/>
            <w:r w:rsidR="00C01746" w:rsidRPr="00F74914">
              <w:rPr>
                <w:rFonts w:ascii="Arial" w:hAnsi="Arial" w:cs="Arial"/>
                <w:color w:val="808080" w:themeColor="background1" w:themeShade="80"/>
                <w:sz w:val="16"/>
                <w:szCs w:val="16"/>
                <w:lang w:val="pt-PT"/>
              </w:rPr>
              <w:t>Financieros</w:t>
            </w:r>
            <w:proofErr w:type="spellEnd"/>
            <w:r w:rsidRPr="00F74914">
              <w:rPr>
                <w:rFonts w:ascii="Arial" w:hAnsi="Arial" w:cs="Arial"/>
                <w:color w:val="808080" w:themeColor="background1" w:themeShade="80"/>
                <w:sz w:val="16"/>
                <w:szCs w:val="16"/>
                <w:lang w:val="pt-PT"/>
              </w:rPr>
              <w:tab/>
            </w:r>
            <w:r w:rsidRPr="00CF5FED">
              <w:rPr>
                <w:rFonts w:ascii="Arial" w:hAnsi="Arial" w:cs="Arial"/>
                <w:bCs/>
                <w:color w:val="92D050"/>
                <w:sz w:val="16"/>
                <w:szCs w:val="16"/>
              </w:rPr>
              <w:fldChar w:fldCharType="begin"/>
            </w:r>
            <w:r w:rsidRPr="00F74914">
              <w:rPr>
                <w:rFonts w:ascii="Arial" w:hAnsi="Arial" w:cs="Arial"/>
                <w:bCs/>
                <w:color w:val="92D050"/>
                <w:sz w:val="16"/>
                <w:szCs w:val="16"/>
                <w:lang w:val="pt-PT"/>
              </w:rPr>
              <w:instrText>PAGE</w:instrText>
            </w:r>
            <w:r w:rsidRPr="00CF5FED">
              <w:rPr>
                <w:rFonts w:ascii="Arial" w:hAnsi="Arial" w:cs="Arial"/>
                <w:bCs/>
                <w:color w:val="92D050"/>
                <w:sz w:val="16"/>
                <w:szCs w:val="16"/>
              </w:rPr>
              <w:fldChar w:fldCharType="separate"/>
            </w:r>
            <w:r w:rsidR="00DE49D4">
              <w:rPr>
                <w:rFonts w:ascii="Arial" w:hAnsi="Arial" w:cs="Arial"/>
                <w:bCs/>
                <w:noProof/>
                <w:color w:val="92D050"/>
                <w:sz w:val="16"/>
                <w:szCs w:val="16"/>
                <w:lang w:val="pt-PT"/>
              </w:rPr>
              <w:t>12</w:t>
            </w:r>
            <w:r w:rsidRPr="00CF5FED">
              <w:rPr>
                <w:rFonts w:ascii="Arial" w:hAnsi="Arial" w:cs="Arial"/>
                <w:bCs/>
                <w:color w:val="92D05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1B20F" w14:textId="77777777" w:rsidR="00F7717B" w:rsidRDefault="00F7717B" w:rsidP="00053A79">
      <w:pPr>
        <w:spacing w:after="0" w:line="240" w:lineRule="auto"/>
      </w:pPr>
      <w:r>
        <w:separator/>
      </w:r>
    </w:p>
  </w:footnote>
  <w:footnote w:type="continuationSeparator" w:id="0">
    <w:p w14:paraId="50CAFDB0" w14:textId="77777777" w:rsidR="00F7717B" w:rsidRDefault="00F7717B" w:rsidP="00053A79">
      <w:pPr>
        <w:spacing w:after="0" w:line="240" w:lineRule="auto"/>
      </w:pPr>
      <w:r>
        <w:continuationSeparator/>
      </w:r>
    </w:p>
  </w:footnote>
  <w:footnote w:id="1">
    <w:p w14:paraId="5AD80C22" w14:textId="77777777" w:rsidR="00A1738B" w:rsidRPr="00A1738B" w:rsidRDefault="00A1738B">
      <w:pPr>
        <w:pStyle w:val="Textodenotaderodap"/>
        <w:rPr>
          <w:lang w:val="es-ES_tradnl"/>
        </w:rPr>
      </w:pPr>
      <w:r>
        <w:rPr>
          <w:rStyle w:val="Refdenotaderodap"/>
        </w:rPr>
        <w:footnoteRef/>
      </w:r>
      <w:r w:rsidRPr="00A1738B">
        <w:rPr>
          <w:lang w:val="es-ES_tradnl"/>
        </w:rPr>
        <w:t xml:space="preserve"> </w:t>
      </w:r>
      <w:r w:rsidRPr="004F4B4F">
        <w:rPr>
          <w:rFonts w:ascii="Arial" w:hAnsi="Arial" w:cs="Arial"/>
          <w:sz w:val="14"/>
          <w:szCs w:val="14"/>
          <w:lang w:val="es-ES"/>
        </w:rPr>
        <w:t>H = 24 (23 ó 25 l</w:t>
      </w:r>
      <w:r>
        <w:rPr>
          <w:rFonts w:ascii="Arial" w:hAnsi="Arial" w:cs="Arial"/>
          <w:sz w:val="14"/>
          <w:szCs w:val="14"/>
          <w:lang w:val="es-ES"/>
        </w:rPr>
        <w:t>os dí</w:t>
      </w:r>
      <w:r w:rsidRPr="004F4B4F">
        <w:rPr>
          <w:rFonts w:ascii="Arial" w:hAnsi="Arial" w:cs="Arial"/>
          <w:sz w:val="14"/>
          <w:szCs w:val="14"/>
          <w:lang w:val="es-ES"/>
        </w:rPr>
        <w:t xml:space="preserve">as de </w:t>
      </w:r>
      <w:r>
        <w:rPr>
          <w:rFonts w:ascii="Arial" w:hAnsi="Arial" w:cs="Arial"/>
          <w:sz w:val="14"/>
          <w:szCs w:val="14"/>
          <w:lang w:val="es-ES"/>
        </w:rPr>
        <w:t>cambio</w:t>
      </w:r>
      <w:r w:rsidRPr="004F4B4F">
        <w:rPr>
          <w:rFonts w:ascii="Arial" w:hAnsi="Arial" w:cs="Arial"/>
          <w:sz w:val="14"/>
          <w:szCs w:val="14"/>
          <w:lang w:val="es-ES"/>
        </w:rPr>
        <w:t xml:space="preserve"> d</w:t>
      </w:r>
      <w:r>
        <w:rPr>
          <w:rFonts w:ascii="Arial" w:hAnsi="Arial" w:cs="Arial"/>
          <w:sz w:val="14"/>
          <w:szCs w:val="14"/>
          <w:lang w:val="es-ES"/>
        </w:rPr>
        <w:t>e l</w:t>
      </w:r>
      <w:r w:rsidRPr="004F4B4F">
        <w:rPr>
          <w:rFonts w:ascii="Arial" w:hAnsi="Arial" w:cs="Arial"/>
          <w:sz w:val="14"/>
          <w:szCs w:val="14"/>
          <w:lang w:val="es-ES"/>
        </w:rPr>
        <w:t xml:space="preserve">a hora legal, respectivamente, </w:t>
      </w:r>
      <w:r>
        <w:rPr>
          <w:rFonts w:ascii="Arial" w:hAnsi="Arial" w:cs="Arial"/>
          <w:sz w:val="14"/>
          <w:szCs w:val="14"/>
          <w:lang w:val="es-ES"/>
        </w:rPr>
        <w:t>el</w:t>
      </w:r>
      <w:r w:rsidRPr="004F4B4F">
        <w:rPr>
          <w:rFonts w:ascii="Arial" w:hAnsi="Arial" w:cs="Arial"/>
          <w:sz w:val="14"/>
          <w:szCs w:val="14"/>
          <w:lang w:val="es-ES"/>
        </w:rPr>
        <w:t xml:space="preserve"> último </w:t>
      </w:r>
      <w:r>
        <w:rPr>
          <w:rFonts w:ascii="Arial" w:hAnsi="Arial" w:cs="Arial"/>
          <w:sz w:val="14"/>
          <w:szCs w:val="14"/>
          <w:lang w:val="es-ES"/>
        </w:rPr>
        <w:t>d</w:t>
      </w:r>
      <w:r w:rsidRPr="004F4B4F">
        <w:rPr>
          <w:rFonts w:ascii="Arial" w:hAnsi="Arial" w:cs="Arial"/>
          <w:sz w:val="14"/>
          <w:szCs w:val="14"/>
          <w:lang w:val="es-ES"/>
        </w:rPr>
        <w:t xml:space="preserve">omingo de </w:t>
      </w:r>
      <w:r>
        <w:rPr>
          <w:rFonts w:ascii="Arial" w:hAnsi="Arial" w:cs="Arial"/>
          <w:sz w:val="14"/>
          <w:szCs w:val="14"/>
          <w:lang w:val="es-ES"/>
        </w:rPr>
        <w:t>los meses de marzo</w:t>
      </w:r>
      <w:r w:rsidRPr="004F4B4F">
        <w:rPr>
          <w:rFonts w:ascii="Arial" w:hAnsi="Arial" w:cs="Arial"/>
          <w:sz w:val="14"/>
          <w:szCs w:val="14"/>
          <w:lang w:val="es-ES"/>
        </w:rPr>
        <w:t xml:space="preserve"> </w:t>
      </w:r>
      <w:r>
        <w:rPr>
          <w:rFonts w:ascii="Arial" w:hAnsi="Arial" w:cs="Arial"/>
          <w:sz w:val="14"/>
          <w:szCs w:val="14"/>
          <w:lang w:val="es-ES"/>
        </w:rPr>
        <w:t>y</w:t>
      </w:r>
      <w:r w:rsidRPr="004F4B4F">
        <w:rPr>
          <w:rFonts w:ascii="Arial" w:hAnsi="Arial" w:cs="Arial"/>
          <w:sz w:val="14"/>
          <w:szCs w:val="14"/>
          <w:lang w:val="es-ES"/>
        </w:rPr>
        <w:t xml:space="preserve"> </w:t>
      </w:r>
      <w:r>
        <w:rPr>
          <w:rFonts w:ascii="Arial" w:hAnsi="Arial" w:cs="Arial"/>
          <w:sz w:val="14"/>
          <w:szCs w:val="14"/>
          <w:lang w:val="es-ES"/>
        </w:rPr>
        <w:t>octubre</w:t>
      </w:r>
      <w:r w:rsidRPr="004F4B4F">
        <w:rPr>
          <w:rFonts w:ascii="Arial" w:hAnsi="Arial" w:cs="Arial"/>
          <w:sz w:val="14"/>
          <w:szCs w:val="1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7A564" w14:textId="77777777" w:rsidR="00C83BC5" w:rsidRDefault="00C83BC5">
    <w:pPr>
      <w:pStyle w:val="Cabealho"/>
      <w:jc w:val="right"/>
    </w:pPr>
  </w:p>
  <w:p w14:paraId="6270DF11" w14:textId="77777777" w:rsidR="00C83BC5" w:rsidRDefault="00C83B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9FC2" w14:textId="77777777" w:rsidR="00B8320D" w:rsidRPr="005117E2" w:rsidRDefault="00B8320D" w:rsidP="00B8320D">
    <w:pPr>
      <w:spacing w:before="240" w:after="0" w:line="300" w:lineRule="exact"/>
      <w:rPr>
        <w:rFonts w:ascii="Arial" w:hAnsi="Arial" w:cs="Arial"/>
        <w:b/>
        <w:color w:val="808080" w:themeColor="background1" w:themeShade="80"/>
        <w:szCs w:val="20"/>
        <w:lang w:val="en-US"/>
      </w:rPr>
    </w:pPr>
    <w:r>
      <w:rPr>
        <w:rFonts w:ascii="Arial" w:hAnsi="Arial" w:cs="Arial"/>
        <w:b/>
        <w:noProof/>
        <w:color w:val="808080" w:themeColor="background1" w:themeShade="80"/>
        <w:sz w:val="24"/>
        <w:szCs w:val="28"/>
        <w:lang w:val="pt-PT" w:eastAsia="pt-PT"/>
      </w:rPr>
      <mc:AlternateContent>
        <mc:Choice Requires="wps">
          <w:drawing>
            <wp:anchor distT="0" distB="0" distL="114300" distR="114300" simplePos="0" relativeHeight="251681792" behindDoc="0" locked="0" layoutInCell="1" allowOverlap="1" wp14:anchorId="73E6B577" wp14:editId="74CC9E99">
              <wp:simplePos x="0" y="0"/>
              <wp:positionH relativeFrom="page">
                <wp:posOffset>720090</wp:posOffset>
              </wp:positionH>
              <wp:positionV relativeFrom="page">
                <wp:posOffset>575945</wp:posOffset>
              </wp:positionV>
              <wp:extent cx="72000" cy="360000"/>
              <wp:effectExtent l="0" t="0" r="4445" b="2540"/>
              <wp:wrapNone/>
              <wp:docPr id="9" name="Rectângulo 9"/>
              <wp:cNvGraphicFramePr/>
              <a:graphic xmlns:a="http://schemas.openxmlformats.org/drawingml/2006/main">
                <a:graphicData uri="http://schemas.microsoft.com/office/word/2010/wordprocessingShape">
                  <wps:wsp>
                    <wps:cNvSpPr/>
                    <wps:spPr>
                      <a:xfrm>
                        <a:off x="0" y="0"/>
                        <a:ext cx="72000" cy="36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34E46" id="Rectângulo 9" o:spid="_x0000_s1026" style="position:absolute;margin-left:56.7pt;margin-top:45.35pt;width:5.65pt;height:28.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" fillcolor="#92d050" stroked="f" strokeweight="2pt">
              <w10:wrap anchorx="page" anchory="page"/>
            </v:rect>
          </w:pict>
        </mc:Fallback>
      </mc:AlternateContent>
    </w:r>
    <w:r>
      <w:rPr>
        <w:rFonts w:ascii="Arial" w:hAnsi="Arial" w:cs="Arial"/>
        <w:b/>
        <w:noProof/>
        <w:color w:val="808080" w:themeColor="background1" w:themeShade="80"/>
        <w:sz w:val="24"/>
        <w:szCs w:val="28"/>
        <w:lang w:val="pt-PT" w:eastAsia="pt-PT"/>
      </w:rPr>
      <mc:AlternateContent>
        <mc:Choice Requires="wps">
          <w:drawing>
            <wp:anchor distT="0" distB="0" distL="114300" distR="114300" simplePos="0" relativeHeight="251680768" behindDoc="0" locked="0" layoutInCell="1" allowOverlap="1" wp14:anchorId="68ED43E6" wp14:editId="7152B32E">
              <wp:simplePos x="0" y="0"/>
              <wp:positionH relativeFrom="page">
                <wp:posOffset>810260</wp:posOffset>
              </wp:positionH>
              <wp:positionV relativeFrom="page">
                <wp:posOffset>540385</wp:posOffset>
              </wp:positionV>
              <wp:extent cx="4680000" cy="432000"/>
              <wp:effectExtent l="0" t="0" r="0" b="6350"/>
              <wp:wrapNone/>
              <wp:docPr id="11" name="Caixa de texto 11"/>
              <wp:cNvGraphicFramePr/>
              <a:graphic xmlns:a="http://schemas.openxmlformats.org/drawingml/2006/main">
                <a:graphicData uri="http://schemas.microsoft.com/office/word/2010/wordprocessingShape">
                  <wps:wsp>
                    <wps:cNvSpPr txBox="1"/>
                    <wps:spPr>
                      <a:xfrm>
                        <a:off x="0" y="0"/>
                        <a:ext cx="4680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0985C" w14:textId="77777777" w:rsidR="00B8320D" w:rsidRPr="00F74914" w:rsidRDefault="00D42D75" w:rsidP="00B8320D">
                          <w:pPr>
                            <w:spacing w:after="0"/>
                            <w:rPr>
                              <w:rFonts w:ascii="Arial" w:hAnsi="Arial" w:cs="Arial"/>
                              <w:b/>
                              <w:color w:val="7F7F7F" w:themeColor="text1" w:themeTint="80"/>
                              <w:lang w:val="pt-PT"/>
                            </w:rPr>
                          </w:pPr>
                          <w:r w:rsidRPr="00F74914">
                            <w:rPr>
                              <w:rFonts w:ascii="Arial" w:hAnsi="Arial" w:cs="Arial"/>
                              <w:b/>
                              <w:color w:val="7F7F7F" w:themeColor="text1" w:themeTint="80"/>
                              <w:lang w:val="pt-PT"/>
                            </w:rPr>
                            <w:t xml:space="preserve">Cláusulas </w:t>
                          </w:r>
                          <w:proofErr w:type="spellStart"/>
                          <w:r w:rsidRPr="00F74914">
                            <w:rPr>
                              <w:rFonts w:ascii="Arial" w:hAnsi="Arial" w:cs="Arial"/>
                              <w:b/>
                              <w:color w:val="7F7F7F" w:themeColor="text1" w:themeTint="80"/>
                              <w:lang w:val="pt-PT"/>
                            </w:rPr>
                            <w:t>Contractuales</w:t>
                          </w:r>
                          <w:proofErr w:type="spellEnd"/>
                          <w:r w:rsidRPr="00F74914">
                            <w:rPr>
                              <w:rFonts w:ascii="Arial" w:hAnsi="Arial" w:cs="Arial"/>
                              <w:b/>
                              <w:color w:val="7F7F7F" w:themeColor="text1" w:themeTint="80"/>
                              <w:lang w:val="pt-PT"/>
                            </w:rPr>
                            <w:t xml:space="preserve"> </w:t>
                          </w:r>
                          <w:proofErr w:type="spellStart"/>
                          <w:r w:rsidRPr="00F74914">
                            <w:rPr>
                              <w:rFonts w:ascii="Arial" w:hAnsi="Arial" w:cs="Arial"/>
                              <w:b/>
                              <w:color w:val="7F7F7F" w:themeColor="text1" w:themeTint="80"/>
                              <w:lang w:val="pt-PT"/>
                            </w:rPr>
                            <w:t>Generales</w:t>
                          </w:r>
                          <w:proofErr w:type="spellEnd"/>
                        </w:p>
                        <w:p w14:paraId="2301DE56" w14:textId="77777777" w:rsidR="00B8320D" w:rsidRPr="00F74914" w:rsidRDefault="00D42D75" w:rsidP="00B8320D">
                          <w:pPr>
                            <w:spacing w:after="0"/>
                            <w:rPr>
                              <w:rFonts w:ascii="Arial" w:hAnsi="Arial" w:cs="Arial"/>
                              <w:color w:val="7F7F7F" w:themeColor="text1" w:themeTint="80"/>
                              <w:lang w:val="pt-PT"/>
                            </w:rPr>
                          </w:pPr>
                          <w:r w:rsidRPr="00F74914">
                            <w:rPr>
                              <w:rFonts w:ascii="Arial" w:hAnsi="Arial" w:cs="Arial"/>
                              <w:color w:val="7F7F7F" w:themeColor="text1" w:themeTint="80"/>
                              <w:lang w:val="pt-PT"/>
                            </w:rPr>
                            <w:t xml:space="preserve">Contratos </w:t>
                          </w:r>
                          <w:r w:rsidR="004A0121" w:rsidRPr="00F74914">
                            <w:rPr>
                              <w:rFonts w:ascii="Arial" w:hAnsi="Arial" w:cs="Arial"/>
                              <w:color w:val="7F7F7F" w:themeColor="text1" w:themeTint="80"/>
                              <w:lang w:val="pt-PT"/>
                            </w:rPr>
                            <w:t xml:space="preserve">de Futuros MIBEL PTEL Base </w:t>
                          </w:r>
                          <w:proofErr w:type="spellStart"/>
                          <w:r w:rsidR="004A0121" w:rsidRPr="00F74914">
                            <w:rPr>
                              <w:rFonts w:ascii="Arial" w:hAnsi="Arial" w:cs="Arial"/>
                              <w:color w:val="7F7F7F" w:themeColor="text1" w:themeTint="80"/>
                              <w:lang w:val="pt-PT"/>
                            </w:rPr>
                            <w:t>Financieros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43E6" id="_x0000_t202" coordsize="21600,21600" o:spt="202" path="m,l,21600r21600,l21600,xe">
              <v:stroke joinstyle="miter"/>
              <v:path gradientshapeok="t" o:connecttype="rect"/>
            </v:shapetype>
            <v:shape id="Caixa de texto 11" o:spid="_x0000_s1026" type="#_x0000_t202" style="position:absolute;margin-left:63.8pt;margin-top:42.55pt;width:368.5pt;height:3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" filled="f" stroked="f" strokeweight=".5pt">
              <v:textbox>
                <w:txbxContent>
                  <w:p w14:paraId="63A0985C" w14:textId="77777777" w:rsidR="00B8320D" w:rsidRPr="00F74914" w:rsidRDefault="00D42D75" w:rsidP="00B8320D">
                    <w:pPr>
                      <w:spacing w:after="0"/>
                      <w:rPr>
                        <w:rFonts w:ascii="Arial" w:hAnsi="Arial" w:cs="Arial"/>
                        <w:b/>
                        <w:color w:val="7F7F7F" w:themeColor="text1" w:themeTint="80"/>
                        <w:lang w:val="pt-PT"/>
                      </w:rPr>
                    </w:pPr>
                    <w:r w:rsidRPr="00F74914">
                      <w:rPr>
                        <w:rFonts w:ascii="Arial" w:hAnsi="Arial" w:cs="Arial"/>
                        <w:b/>
                        <w:color w:val="7F7F7F" w:themeColor="text1" w:themeTint="80"/>
                        <w:lang w:val="pt-PT"/>
                      </w:rPr>
                      <w:t xml:space="preserve">Cláusulas </w:t>
                    </w:r>
                    <w:proofErr w:type="spellStart"/>
                    <w:r w:rsidRPr="00F74914">
                      <w:rPr>
                        <w:rFonts w:ascii="Arial" w:hAnsi="Arial" w:cs="Arial"/>
                        <w:b/>
                        <w:color w:val="7F7F7F" w:themeColor="text1" w:themeTint="80"/>
                        <w:lang w:val="pt-PT"/>
                      </w:rPr>
                      <w:t>Contractuales</w:t>
                    </w:r>
                    <w:proofErr w:type="spellEnd"/>
                    <w:r w:rsidRPr="00F74914">
                      <w:rPr>
                        <w:rFonts w:ascii="Arial" w:hAnsi="Arial" w:cs="Arial"/>
                        <w:b/>
                        <w:color w:val="7F7F7F" w:themeColor="text1" w:themeTint="80"/>
                        <w:lang w:val="pt-PT"/>
                      </w:rPr>
                      <w:t xml:space="preserve"> </w:t>
                    </w:r>
                    <w:proofErr w:type="spellStart"/>
                    <w:r w:rsidRPr="00F74914">
                      <w:rPr>
                        <w:rFonts w:ascii="Arial" w:hAnsi="Arial" w:cs="Arial"/>
                        <w:b/>
                        <w:color w:val="7F7F7F" w:themeColor="text1" w:themeTint="80"/>
                        <w:lang w:val="pt-PT"/>
                      </w:rPr>
                      <w:t>Generales</w:t>
                    </w:r>
                    <w:proofErr w:type="spellEnd"/>
                  </w:p>
                  <w:p w14:paraId="2301DE56" w14:textId="77777777" w:rsidR="00B8320D" w:rsidRPr="00F74914" w:rsidRDefault="00D42D75" w:rsidP="00B8320D">
                    <w:pPr>
                      <w:spacing w:after="0"/>
                      <w:rPr>
                        <w:rFonts w:ascii="Arial" w:hAnsi="Arial" w:cs="Arial"/>
                        <w:color w:val="7F7F7F" w:themeColor="text1" w:themeTint="80"/>
                        <w:lang w:val="pt-PT"/>
                      </w:rPr>
                    </w:pPr>
                    <w:r w:rsidRPr="00F74914">
                      <w:rPr>
                        <w:rFonts w:ascii="Arial" w:hAnsi="Arial" w:cs="Arial"/>
                        <w:color w:val="7F7F7F" w:themeColor="text1" w:themeTint="80"/>
                        <w:lang w:val="pt-PT"/>
                      </w:rPr>
                      <w:t xml:space="preserve">Contratos </w:t>
                    </w:r>
                    <w:r w:rsidR="004A0121" w:rsidRPr="00F74914">
                      <w:rPr>
                        <w:rFonts w:ascii="Arial" w:hAnsi="Arial" w:cs="Arial"/>
                        <w:color w:val="7F7F7F" w:themeColor="text1" w:themeTint="80"/>
                        <w:lang w:val="pt-PT"/>
                      </w:rPr>
                      <w:t xml:space="preserve">de Futuros MIBEL PTEL Base </w:t>
                    </w:r>
                    <w:proofErr w:type="spellStart"/>
                    <w:r w:rsidR="004A0121" w:rsidRPr="00F74914">
                      <w:rPr>
                        <w:rFonts w:ascii="Arial" w:hAnsi="Arial" w:cs="Arial"/>
                        <w:color w:val="7F7F7F" w:themeColor="text1" w:themeTint="80"/>
                        <w:lang w:val="pt-PT"/>
                      </w:rPr>
                      <w:t>Financieros</w:t>
                    </w:r>
                    <w:proofErr w:type="spellEnd"/>
                  </w:p>
                </w:txbxContent>
              </v:textbox>
              <w10:wrap anchorx="page" anchory="page"/>
            </v:shape>
          </w:pict>
        </mc:Fallback>
      </mc:AlternateContent>
    </w:r>
  </w:p>
  <w:p w14:paraId="2683A820" w14:textId="77777777" w:rsidR="00C83BC5" w:rsidRPr="005117E2" w:rsidRDefault="00C83BC5" w:rsidP="00C83BC5">
    <w:pPr>
      <w:spacing w:before="240" w:after="0" w:line="300" w:lineRule="exact"/>
      <w:rPr>
        <w:rFonts w:ascii="Arial" w:hAnsi="Arial" w:cs="Arial"/>
        <w:b/>
        <w:color w:val="808080" w:themeColor="background1" w:themeShade="80"/>
        <w:szCs w:val="20"/>
        <w:lang w:val="en-US"/>
      </w:rPr>
    </w:pPr>
  </w:p>
  <w:p w14:paraId="23D59484" w14:textId="77777777" w:rsidR="00C83BC5" w:rsidRDefault="00FF1BE9" w:rsidP="00053A79">
    <w:pPr>
      <w:spacing w:after="0" w:line="300" w:lineRule="exact"/>
      <w:ind w:left="1559"/>
      <w:rPr>
        <w:rFonts w:ascii="Arial" w:hAnsi="Arial" w:cs="Arial"/>
        <w:b/>
        <w:color w:val="808080" w:themeColor="background1" w:themeShade="80"/>
        <w:sz w:val="24"/>
        <w:szCs w:val="20"/>
        <w:lang w:val="en-US"/>
      </w:rPr>
    </w:pPr>
    <w:r w:rsidRPr="005117E2">
      <w:rPr>
        <w:noProof/>
        <w:szCs w:val="20"/>
        <w:lang w:val="pt-PT" w:eastAsia="pt-PT"/>
      </w:rPr>
      <w:drawing>
        <wp:anchor distT="0" distB="0" distL="114300" distR="114300" simplePos="0" relativeHeight="251689984" behindDoc="0" locked="0" layoutInCell="1" allowOverlap="1" wp14:anchorId="0CB0E9BE" wp14:editId="7A03E594">
          <wp:simplePos x="0" y="0"/>
          <wp:positionH relativeFrom="page">
            <wp:posOffset>5764530</wp:posOffset>
          </wp:positionH>
          <wp:positionV relativeFrom="page">
            <wp:posOffset>575945</wp:posOffset>
          </wp:positionV>
          <wp:extent cx="896400" cy="360000"/>
          <wp:effectExtent l="0" t="0" r="0" b="2540"/>
          <wp:wrapSquare wrapText="bothSides"/>
          <wp:docPr id="6" name="Picture 0" descr="omip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ip150.jpg"/>
                  <pic:cNvPicPr/>
                </pic:nvPicPr>
                <pic:blipFill>
                  <a:blip r:embed="rId1" cstate="print"/>
                  <a:stretch>
                    <a:fillRect/>
                  </a:stretch>
                </pic:blipFill>
                <pic:spPr>
                  <a:xfrm>
                    <a:off x="0" y="0"/>
                    <a:ext cx="896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A7F9" w14:textId="77777777" w:rsidR="002E3600" w:rsidRPr="005117E2" w:rsidRDefault="00FF1BE9" w:rsidP="005117E2">
    <w:pPr>
      <w:spacing w:before="240" w:after="0" w:line="300" w:lineRule="exact"/>
      <w:rPr>
        <w:rFonts w:ascii="Arial" w:hAnsi="Arial" w:cs="Arial"/>
        <w:b/>
        <w:color w:val="808080" w:themeColor="background1" w:themeShade="80"/>
        <w:szCs w:val="20"/>
        <w:lang w:val="en-US"/>
      </w:rPr>
    </w:pPr>
    <w:r w:rsidRPr="005117E2">
      <w:rPr>
        <w:noProof/>
        <w:szCs w:val="20"/>
        <w:lang w:val="pt-PT" w:eastAsia="pt-PT"/>
      </w:rPr>
      <w:drawing>
        <wp:anchor distT="0" distB="0" distL="114300" distR="114300" simplePos="0" relativeHeight="251692032" behindDoc="0" locked="0" layoutInCell="1" allowOverlap="1" wp14:anchorId="028B4A84" wp14:editId="34B66539">
          <wp:simplePos x="0" y="0"/>
          <wp:positionH relativeFrom="page">
            <wp:posOffset>5764530</wp:posOffset>
          </wp:positionH>
          <wp:positionV relativeFrom="page">
            <wp:posOffset>575945</wp:posOffset>
          </wp:positionV>
          <wp:extent cx="896400" cy="360000"/>
          <wp:effectExtent l="0" t="0" r="0" b="2540"/>
          <wp:wrapSquare wrapText="bothSides"/>
          <wp:docPr id="7" name="Picture 0" descr="omip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ip150.jpg"/>
                  <pic:cNvPicPr/>
                </pic:nvPicPr>
                <pic:blipFill>
                  <a:blip r:embed="rId1" cstate="print"/>
                  <a:stretch>
                    <a:fillRect/>
                  </a:stretch>
                </pic:blipFill>
                <pic:spPr>
                  <a:xfrm>
                    <a:off x="0" y="0"/>
                    <a:ext cx="896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5C7"/>
    <w:multiLevelType w:val="hybridMultilevel"/>
    <w:tmpl w:val="F6547D92"/>
    <w:lvl w:ilvl="0" w:tplc="A66CFBEA">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23957D3"/>
    <w:multiLevelType w:val="hybridMultilevel"/>
    <w:tmpl w:val="3CF04A82"/>
    <w:lvl w:ilvl="0" w:tplc="DA2EB232">
      <w:start w:val="1"/>
      <w:numFmt w:val="decimal"/>
      <w:lvlText w:val="%1."/>
      <w:lvlJc w:val="left"/>
      <w:pPr>
        <w:ind w:left="720" w:hanging="360"/>
      </w:pPr>
      <w:rPr>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933CC"/>
    <w:multiLevelType w:val="hybridMultilevel"/>
    <w:tmpl w:val="11068368"/>
    <w:lvl w:ilvl="0" w:tplc="0409001B">
      <w:start w:val="1"/>
      <w:numFmt w:val="lowerRoman"/>
      <w:lvlText w:val="%1."/>
      <w:lvlJc w:val="right"/>
      <w:pPr>
        <w:ind w:left="1287" w:hanging="360"/>
      </w:pPr>
    </w:lvl>
    <w:lvl w:ilvl="1" w:tplc="FF9ED530">
      <w:start w:val="1"/>
      <w:numFmt w:val="lowerRoman"/>
      <w:lvlText w:val="%2."/>
      <w:lvlJc w:val="left"/>
      <w:pPr>
        <w:ind w:left="2007" w:hanging="360"/>
      </w:pPr>
      <w:rPr>
        <w:rFonts w:hint="default"/>
        <w:b w:val="0"/>
        <w:color w:val="auto"/>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8A65518"/>
    <w:multiLevelType w:val="hybridMultilevel"/>
    <w:tmpl w:val="089E0E76"/>
    <w:lvl w:ilvl="0" w:tplc="DD5CA59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7D36"/>
    <w:multiLevelType w:val="hybridMultilevel"/>
    <w:tmpl w:val="5E82232A"/>
    <w:lvl w:ilvl="0" w:tplc="6BACFFCA">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B2ED0"/>
    <w:multiLevelType w:val="hybridMultilevel"/>
    <w:tmpl w:val="42423DD6"/>
    <w:lvl w:ilvl="0" w:tplc="A150249E">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FA77FE3"/>
    <w:multiLevelType w:val="hybridMultilevel"/>
    <w:tmpl w:val="868416FA"/>
    <w:lvl w:ilvl="0" w:tplc="9688875E">
      <w:start w:val="2"/>
      <w:numFmt w:val="lowerLetter"/>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3AF"/>
    <w:multiLevelType w:val="hybridMultilevel"/>
    <w:tmpl w:val="9C889BC8"/>
    <w:lvl w:ilvl="0" w:tplc="F140AC3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A1642"/>
    <w:multiLevelType w:val="hybridMultilevel"/>
    <w:tmpl w:val="D840BF4A"/>
    <w:lvl w:ilvl="0" w:tplc="20442CEA">
      <w:start w:val="11"/>
      <w:numFmt w:val="decimal"/>
      <w:lvlText w:val="%1."/>
      <w:lvlJc w:val="left"/>
      <w:pPr>
        <w:ind w:left="720" w:hanging="360"/>
      </w:pPr>
      <w:rPr>
        <w:rFonts w:hint="default"/>
        <w:b/>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C5621"/>
    <w:multiLevelType w:val="hybridMultilevel"/>
    <w:tmpl w:val="F54CF52C"/>
    <w:lvl w:ilvl="0" w:tplc="B7E2C788">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30A4688"/>
    <w:multiLevelType w:val="hybridMultilevel"/>
    <w:tmpl w:val="45DC6602"/>
    <w:lvl w:ilvl="0" w:tplc="CE6E07F2">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7767278"/>
    <w:multiLevelType w:val="hybridMultilevel"/>
    <w:tmpl w:val="49D032D0"/>
    <w:lvl w:ilvl="0" w:tplc="C798A750">
      <w:start w:val="1"/>
      <w:numFmt w:val="decimal"/>
      <w:lvlText w:val="%1."/>
      <w:lvlJc w:val="left"/>
      <w:pPr>
        <w:ind w:left="578" w:hanging="360"/>
      </w:pPr>
      <w:rPr>
        <w:b w:val="0"/>
        <w:color w:val="auto"/>
      </w:rPr>
    </w:lvl>
    <w:lvl w:ilvl="1" w:tplc="3D5EABEE">
      <w:start w:val="1"/>
      <w:numFmt w:val="lowerRoman"/>
      <w:lvlText w:val="%2."/>
      <w:lvlJc w:val="left"/>
      <w:pPr>
        <w:ind w:left="1658" w:hanging="72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EA0C8E"/>
    <w:multiLevelType w:val="hybridMultilevel"/>
    <w:tmpl w:val="84D44446"/>
    <w:lvl w:ilvl="0" w:tplc="CE6E07F2">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AFE548A"/>
    <w:multiLevelType w:val="hybridMultilevel"/>
    <w:tmpl w:val="02A6FABC"/>
    <w:lvl w:ilvl="0" w:tplc="52E0D48C">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BAB3E7F"/>
    <w:multiLevelType w:val="hybridMultilevel"/>
    <w:tmpl w:val="8CEA6B66"/>
    <w:lvl w:ilvl="0" w:tplc="5DB08186">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9BA1B66"/>
    <w:multiLevelType w:val="hybridMultilevel"/>
    <w:tmpl w:val="915CD9BE"/>
    <w:lvl w:ilvl="0" w:tplc="FF26F954">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D5B4E99"/>
    <w:multiLevelType w:val="hybridMultilevel"/>
    <w:tmpl w:val="FB4663A6"/>
    <w:lvl w:ilvl="0" w:tplc="F828AC2E">
      <w:start w:val="1"/>
      <w:numFmt w:val="lowerRoman"/>
      <w:lvlText w:val="%1."/>
      <w:lvlJc w:val="left"/>
      <w:pPr>
        <w:ind w:left="1080" w:hanging="360"/>
      </w:pPr>
      <w:rPr>
        <w:rFonts w:hint="default"/>
        <w:b w:val="0"/>
        <w:color w:val="auto"/>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4FE4347E"/>
    <w:multiLevelType w:val="hybridMultilevel"/>
    <w:tmpl w:val="E8B03022"/>
    <w:lvl w:ilvl="0" w:tplc="0816001B">
      <w:start w:val="1"/>
      <w:numFmt w:val="lowerRoman"/>
      <w:lvlText w:val="%1."/>
      <w:lvlJc w:val="righ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15:restartNumberingAfterBreak="0">
    <w:nsid w:val="51FB420A"/>
    <w:multiLevelType w:val="hybridMultilevel"/>
    <w:tmpl w:val="5538DE2E"/>
    <w:lvl w:ilvl="0" w:tplc="36C24314">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352FC"/>
    <w:multiLevelType w:val="hybridMultilevel"/>
    <w:tmpl w:val="9E28D00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3240"/>
        </w:tabs>
        <w:ind w:left="324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0" w15:restartNumberingAfterBreak="0">
    <w:nsid w:val="5E9C48EA"/>
    <w:multiLevelType w:val="hybridMultilevel"/>
    <w:tmpl w:val="134E1D44"/>
    <w:lvl w:ilvl="0" w:tplc="CE6E07F2">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9D429E1"/>
    <w:multiLevelType w:val="hybridMultilevel"/>
    <w:tmpl w:val="6D32ABE4"/>
    <w:lvl w:ilvl="0" w:tplc="E7AC794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C55DF"/>
    <w:multiLevelType w:val="hybridMultilevel"/>
    <w:tmpl w:val="6D32ABE4"/>
    <w:lvl w:ilvl="0" w:tplc="E7AC794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C5DE2"/>
    <w:multiLevelType w:val="hybridMultilevel"/>
    <w:tmpl w:val="E28CCB3E"/>
    <w:lvl w:ilvl="0" w:tplc="CE6E07F2">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2711DEE"/>
    <w:multiLevelType w:val="hybridMultilevel"/>
    <w:tmpl w:val="B5FE4816"/>
    <w:lvl w:ilvl="0" w:tplc="CE6E07F2">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83A1466"/>
    <w:multiLevelType w:val="hybridMultilevel"/>
    <w:tmpl w:val="F2AC3D18"/>
    <w:lvl w:ilvl="0" w:tplc="2D7C7762">
      <w:start w:val="3"/>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502A4"/>
    <w:multiLevelType w:val="hybridMultilevel"/>
    <w:tmpl w:val="D81C52FC"/>
    <w:lvl w:ilvl="0" w:tplc="CE6E07F2">
      <w:start w:val="1"/>
      <w:numFmt w:val="lowerLetter"/>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7E804C77"/>
    <w:multiLevelType w:val="hybridMultilevel"/>
    <w:tmpl w:val="75F4751A"/>
    <w:lvl w:ilvl="0" w:tplc="F828AC2E">
      <w:start w:val="1"/>
      <w:numFmt w:val="lowerRoman"/>
      <w:lvlText w:val="%1."/>
      <w:lvlJc w:val="left"/>
      <w:pPr>
        <w:ind w:left="1068" w:hanging="360"/>
      </w:pPr>
      <w:rPr>
        <w:rFonts w:hint="default"/>
        <w:b w:val="0"/>
        <w:color w:val="auto"/>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8" w15:restartNumberingAfterBreak="0">
    <w:nsid w:val="7F506656"/>
    <w:multiLevelType w:val="hybridMultilevel"/>
    <w:tmpl w:val="5EC65FF2"/>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11"/>
  </w:num>
  <w:num w:numId="2">
    <w:abstractNumId w:val="3"/>
  </w:num>
  <w:num w:numId="3">
    <w:abstractNumId w:val="21"/>
  </w:num>
  <w:num w:numId="4">
    <w:abstractNumId w:val="2"/>
  </w:num>
  <w:num w:numId="5">
    <w:abstractNumId w:val="6"/>
  </w:num>
  <w:num w:numId="6">
    <w:abstractNumId w:val="4"/>
  </w:num>
  <w:num w:numId="7">
    <w:abstractNumId w:val="25"/>
  </w:num>
  <w:num w:numId="8">
    <w:abstractNumId w:val="18"/>
  </w:num>
  <w:num w:numId="9">
    <w:abstractNumId w:val="1"/>
  </w:num>
  <w:num w:numId="10">
    <w:abstractNumId w:val="8"/>
  </w:num>
  <w:num w:numId="11">
    <w:abstractNumId w:val="22"/>
  </w:num>
  <w:num w:numId="12">
    <w:abstractNumId w:val="7"/>
  </w:num>
  <w:num w:numId="13">
    <w:abstractNumId w:val="0"/>
  </w:num>
  <w:num w:numId="14">
    <w:abstractNumId w:val="9"/>
  </w:num>
  <w:num w:numId="15">
    <w:abstractNumId w:val="5"/>
  </w:num>
  <w:num w:numId="16">
    <w:abstractNumId w:val="14"/>
  </w:num>
  <w:num w:numId="17">
    <w:abstractNumId w:val="27"/>
  </w:num>
  <w:num w:numId="18">
    <w:abstractNumId w:val="13"/>
  </w:num>
  <w:num w:numId="19">
    <w:abstractNumId w:val="16"/>
  </w:num>
  <w:num w:numId="20">
    <w:abstractNumId w:val="15"/>
  </w:num>
  <w:num w:numId="21">
    <w:abstractNumId w:val="26"/>
  </w:num>
  <w:num w:numId="22">
    <w:abstractNumId w:val="12"/>
  </w:num>
  <w:num w:numId="23">
    <w:abstractNumId w:val="17"/>
  </w:num>
  <w:num w:numId="24">
    <w:abstractNumId w:val="10"/>
  </w:num>
  <w:num w:numId="25">
    <w:abstractNumId w:val="20"/>
  </w:num>
  <w:num w:numId="26">
    <w:abstractNumId w:val="28"/>
  </w:num>
  <w:num w:numId="27">
    <w:abstractNumId w:val="19"/>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FF7"/>
    <w:rsid w:val="00000419"/>
    <w:rsid w:val="000057B1"/>
    <w:rsid w:val="00010F6B"/>
    <w:rsid w:val="000119F3"/>
    <w:rsid w:val="00013674"/>
    <w:rsid w:val="0002000F"/>
    <w:rsid w:val="00022DCA"/>
    <w:rsid w:val="00025B87"/>
    <w:rsid w:val="0004084C"/>
    <w:rsid w:val="000414C1"/>
    <w:rsid w:val="0005241F"/>
    <w:rsid w:val="00053A79"/>
    <w:rsid w:val="000616DB"/>
    <w:rsid w:val="0007720E"/>
    <w:rsid w:val="000C4107"/>
    <w:rsid w:val="000C5C04"/>
    <w:rsid w:val="000D0DD3"/>
    <w:rsid w:val="000E34EE"/>
    <w:rsid w:val="000E569F"/>
    <w:rsid w:val="000F3265"/>
    <w:rsid w:val="00100E5A"/>
    <w:rsid w:val="00107032"/>
    <w:rsid w:val="00111276"/>
    <w:rsid w:val="00121A47"/>
    <w:rsid w:val="00121BB7"/>
    <w:rsid w:val="0012517E"/>
    <w:rsid w:val="00126AA2"/>
    <w:rsid w:val="00135427"/>
    <w:rsid w:val="00136FF1"/>
    <w:rsid w:val="001434FF"/>
    <w:rsid w:val="001558E4"/>
    <w:rsid w:val="00163093"/>
    <w:rsid w:val="00172E1D"/>
    <w:rsid w:val="0018324A"/>
    <w:rsid w:val="00186A95"/>
    <w:rsid w:val="00193524"/>
    <w:rsid w:val="001A4945"/>
    <w:rsid w:val="001B5847"/>
    <w:rsid w:val="001C5785"/>
    <w:rsid w:val="001D6D89"/>
    <w:rsid w:val="001E627E"/>
    <w:rsid w:val="001E7EE7"/>
    <w:rsid w:val="00200586"/>
    <w:rsid w:val="00202331"/>
    <w:rsid w:val="00203ADE"/>
    <w:rsid w:val="002127FB"/>
    <w:rsid w:val="0021355D"/>
    <w:rsid w:val="00216AC8"/>
    <w:rsid w:val="002213DD"/>
    <w:rsid w:val="00222C6D"/>
    <w:rsid w:val="00234EEA"/>
    <w:rsid w:val="002426DE"/>
    <w:rsid w:val="002518D0"/>
    <w:rsid w:val="0025304D"/>
    <w:rsid w:val="002537ED"/>
    <w:rsid w:val="002539E5"/>
    <w:rsid w:val="002626AD"/>
    <w:rsid w:val="00263659"/>
    <w:rsid w:val="002728C4"/>
    <w:rsid w:val="002747C0"/>
    <w:rsid w:val="002852E5"/>
    <w:rsid w:val="002A3DC8"/>
    <w:rsid w:val="002D776F"/>
    <w:rsid w:val="002E0C5E"/>
    <w:rsid w:val="002E3600"/>
    <w:rsid w:val="002E71A3"/>
    <w:rsid w:val="002F0F86"/>
    <w:rsid w:val="00303D03"/>
    <w:rsid w:val="00305FAA"/>
    <w:rsid w:val="00315563"/>
    <w:rsid w:val="003163EA"/>
    <w:rsid w:val="0032459E"/>
    <w:rsid w:val="003276A5"/>
    <w:rsid w:val="00337A77"/>
    <w:rsid w:val="00353732"/>
    <w:rsid w:val="003568A6"/>
    <w:rsid w:val="003568F3"/>
    <w:rsid w:val="003631D3"/>
    <w:rsid w:val="00392B2D"/>
    <w:rsid w:val="00394FAF"/>
    <w:rsid w:val="003A26DD"/>
    <w:rsid w:val="003A4440"/>
    <w:rsid w:val="003D5494"/>
    <w:rsid w:val="003E4C0B"/>
    <w:rsid w:val="003E7E00"/>
    <w:rsid w:val="003F2260"/>
    <w:rsid w:val="004019CA"/>
    <w:rsid w:val="00425C19"/>
    <w:rsid w:val="00430C6F"/>
    <w:rsid w:val="00431452"/>
    <w:rsid w:val="004361C9"/>
    <w:rsid w:val="00440E49"/>
    <w:rsid w:val="004534AE"/>
    <w:rsid w:val="00461C90"/>
    <w:rsid w:val="0049159F"/>
    <w:rsid w:val="00497649"/>
    <w:rsid w:val="004A0121"/>
    <w:rsid w:val="004A3505"/>
    <w:rsid w:val="004B0E15"/>
    <w:rsid w:val="004B3BBC"/>
    <w:rsid w:val="004B6591"/>
    <w:rsid w:val="004B708F"/>
    <w:rsid w:val="004C7D07"/>
    <w:rsid w:val="004D1D87"/>
    <w:rsid w:val="004D2B0F"/>
    <w:rsid w:val="004D2B27"/>
    <w:rsid w:val="004D53D7"/>
    <w:rsid w:val="004D5C9B"/>
    <w:rsid w:val="004D6C70"/>
    <w:rsid w:val="004F2A2C"/>
    <w:rsid w:val="004F320A"/>
    <w:rsid w:val="00504B18"/>
    <w:rsid w:val="00504F90"/>
    <w:rsid w:val="005116F1"/>
    <w:rsid w:val="005117E2"/>
    <w:rsid w:val="00516B7D"/>
    <w:rsid w:val="00517DBC"/>
    <w:rsid w:val="00523301"/>
    <w:rsid w:val="005253FD"/>
    <w:rsid w:val="005334B0"/>
    <w:rsid w:val="005429C0"/>
    <w:rsid w:val="00564401"/>
    <w:rsid w:val="00567FF7"/>
    <w:rsid w:val="00573680"/>
    <w:rsid w:val="00581910"/>
    <w:rsid w:val="00584EFC"/>
    <w:rsid w:val="0058791A"/>
    <w:rsid w:val="005925F6"/>
    <w:rsid w:val="005B12AB"/>
    <w:rsid w:val="005B2177"/>
    <w:rsid w:val="005B59CD"/>
    <w:rsid w:val="005C4FA6"/>
    <w:rsid w:val="005E61CD"/>
    <w:rsid w:val="005E6E5A"/>
    <w:rsid w:val="00631F4F"/>
    <w:rsid w:val="00644F94"/>
    <w:rsid w:val="0064511E"/>
    <w:rsid w:val="0065357D"/>
    <w:rsid w:val="006539A6"/>
    <w:rsid w:val="00660452"/>
    <w:rsid w:val="0066737D"/>
    <w:rsid w:val="00675D8F"/>
    <w:rsid w:val="00676CA5"/>
    <w:rsid w:val="006848F4"/>
    <w:rsid w:val="006A0230"/>
    <w:rsid w:val="006A2C8F"/>
    <w:rsid w:val="006A770B"/>
    <w:rsid w:val="006A7F9A"/>
    <w:rsid w:val="006B18DE"/>
    <w:rsid w:val="006B7015"/>
    <w:rsid w:val="006F4043"/>
    <w:rsid w:val="00702E64"/>
    <w:rsid w:val="007032F9"/>
    <w:rsid w:val="00710D89"/>
    <w:rsid w:val="00710FF8"/>
    <w:rsid w:val="00717848"/>
    <w:rsid w:val="00717917"/>
    <w:rsid w:val="007210F8"/>
    <w:rsid w:val="00730F35"/>
    <w:rsid w:val="0075163C"/>
    <w:rsid w:val="00751834"/>
    <w:rsid w:val="00764C6F"/>
    <w:rsid w:val="00786594"/>
    <w:rsid w:val="00791BCF"/>
    <w:rsid w:val="007C2271"/>
    <w:rsid w:val="007E2126"/>
    <w:rsid w:val="007E2400"/>
    <w:rsid w:val="007E3D3D"/>
    <w:rsid w:val="007E7B5E"/>
    <w:rsid w:val="00815AC5"/>
    <w:rsid w:val="00825C08"/>
    <w:rsid w:val="0083152B"/>
    <w:rsid w:val="00835B64"/>
    <w:rsid w:val="00847FAF"/>
    <w:rsid w:val="00856108"/>
    <w:rsid w:val="00856E23"/>
    <w:rsid w:val="00874660"/>
    <w:rsid w:val="008832F6"/>
    <w:rsid w:val="00893EEC"/>
    <w:rsid w:val="0089685E"/>
    <w:rsid w:val="008B26A7"/>
    <w:rsid w:val="008C00DC"/>
    <w:rsid w:val="009026E7"/>
    <w:rsid w:val="00903290"/>
    <w:rsid w:val="009117F1"/>
    <w:rsid w:val="00914527"/>
    <w:rsid w:val="00922125"/>
    <w:rsid w:val="00922639"/>
    <w:rsid w:val="00947A46"/>
    <w:rsid w:val="00965ABB"/>
    <w:rsid w:val="009709F2"/>
    <w:rsid w:val="0097495C"/>
    <w:rsid w:val="009769F6"/>
    <w:rsid w:val="00984E71"/>
    <w:rsid w:val="009B68F4"/>
    <w:rsid w:val="009D7EAD"/>
    <w:rsid w:val="009E56C0"/>
    <w:rsid w:val="009F7134"/>
    <w:rsid w:val="009F7D08"/>
    <w:rsid w:val="00A01991"/>
    <w:rsid w:val="00A043AC"/>
    <w:rsid w:val="00A14698"/>
    <w:rsid w:val="00A1738B"/>
    <w:rsid w:val="00A22840"/>
    <w:rsid w:val="00A361B4"/>
    <w:rsid w:val="00A4296C"/>
    <w:rsid w:val="00A4314A"/>
    <w:rsid w:val="00A433CC"/>
    <w:rsid w:val="00A6541A"/>
    <w:rsid w:val="00A70506"/>
    <w:rsid w:val="00A7727B"/>
    <w:rsid w:val="00A8606A"/>
    <w:rsid w:val="00AA3C2A"/>
    <w:rsid w:val="00AB326C"/>
    <w:rsid w:val="00AC6AD7"/>
    <w:rsid w:val="00AE3F67"/>
    <w:rsid w:val="00AE61B1"/>
    <w:rsid w:val="00AF2D16"/>
    <w:rsid w:val="00AF7772"/>
    <w:rsid w:val="00B1480C"/>
    <w:rsid w:val="00B1772C"/>
    <w:rsid w:val="00B20990"/>
    <w:rsid w:val="00B314C2"/>
    <w:rsid w:val="00B34148"/>
    <w:rsid w:val="00B44C5E"/>
    <w:rsid w:val="00B50184"/>
    <w:rsid w:val="00B56149"/>
    <w:rsid w:val="00B74469"/>
    <w:rsid w:val="00B75BAD"/>
    <w:rsid w:val="00B8320D"/>
    <w:rsid w:val="00B8491C"/>
    <w:rsid w:val="00B87C63"/>
    <w:rsid w:val="00B9424A"/>
    <w:rsid w:val="00BA0178"/>
    <w:rsid w:val="00BA4ACC"/>
    <w:rsid w:val="00BA7964"/>
    <w:rsid w:val="00BB631C"/>
    <w:rsid w:val="00BC0E3A"/>
    <w:rsid w:val="00BC6943"/>
    <w:rsid w:val="00BC6AEC"/>
    <w:rsid w:val="00BD0751"/>
    <w:rsid w:val="00BD6CE4"/>
    <w:rsid w:val="00BE0D2A"/>
    <w:rsid w:val="00BF631E"/>
    <w:rsid w:val="00C01746"/>
    <w:rsid w:val="00C073A5"/>
    <w:rsid w:val="00C07B89"/>
    <w:rsid w:val="00C11F77"/>
    <w:rsid w:val="00C151CD"/>
    <w:rsid w:val="00C212F5"/>
    <w:rsid w:val="00C23149"/>
    <w:rsid w:val="00C32052"/>
    <w:rsid w:val="00C50D4D"/>
    <w:rsid w:val="00C63CA5"/>
    <w:rsid w:val="00C8342E"/>
    <w:rsid w:val="00C83BC5"/>
    <w:rsid w:val="00C84F5F"/>
    <w:rsid w:val="00C85F84"/>
    <w:rsid w:val="00C934D9"/>
    <w:rsid w:val="00C93A02"/>
    <w:rsid w:val="00CA1713"/>
    <w:rsid w:val="00CA3ADB"/>
    <w:rsid w:val="00CD2AFE"/>
    <w:rsid w:val="00CD7C51"/>
    <w:rsid w:val="00CE18CA"/>
    <w:rsid w:val="00CF1E8F"/>
    <w:rsid w:val="00CF5FED"/>
    <w:rsid w:val="00D22A15"/>
    <w:rsid w:val="00D33A60"/>
    <w:rsid w:val="00D35CB8"/>
    <w:rsid w:val="00D36448"/>
    <w:rsid w:val="00D416BC"/>
    <w:rsid w:val="00D42D75"/>
    <w:rsid w:val="00D55035"/>
    <w:rsid w:val="00D80C9C"/>
    <w:rsid w:val="00D91828"/>
    <w:rsid w:val="00DA0AEF"/>
    <w:rsid w:val="00DA6025"/>
    <w:rsid w:val="00DB3C96"/>
    <w:rsid w:val="00DB7900"/>
    <w:rsid w:val="00DC197F"/>
    <w:rsid w:val="00DC5523"/>
    <w:rsid w:val="00DC6C3C"/>
    <w:rsid w:val="00DC79E5"/>
    <w:rsid w:val="00DE48F1"/>
    <w:rsid w:val="00DE49D4"/>
    <w:rsid w:val="00DE529D"/>
    <w:rsid w:val="00DF012C"/>
    <w:rsid w:val="00E05C9E"/>
    <w:rsid w:val="00E06612"/>
    <w:rsid w:val="00E37F81"/>
    <w:rsid w:val="00E4535D"/>
    <w:rsid w:val="00E56786"/>
    <w:rsid w:val="00E64907"/>
    <w:rsid w:val="00E64FF5"/>
    <w:rsid w:val="00E8591B"/>
    <w:rsid w:val="00EA5DD8"/>
    <w:rsid w:val="00EB4368"/>
    <w:rsid w:val="00EB6F5B"/>
    <w:rsid w:val="00EC3A2C"/>
    <w:rsid w:val="00EE5909"/>
    <w:rsid w:val="00EE5C31"/>
    <w:rsid w:val="00F04432"/>
    <w:rsid w:val="00F06C2A"/>
    <w:rsid w:val="00F14F80"/>
    <w:rsid w:val="00F15A02"/>
    <w:rsid w:val="00F1776B"/>
    <w:rsid w:val="00F21A24"/>
    <w:rsid w:val="00F26707"/>
    <w:rsid w:val="00F45A8C"/>
    <w:rsid w:val="00F50159"/>
    <w:rsid w:val="00F62C57"/>
    <w:rsid w:val="00F633B1"/>
    <w:rsid w:val="00F74914"/>
    <w:rsid w:val="00F7717B"/>
    <w:rsid w:val="00F91F71"/>
    <w:rsid w:val="00F93A07"/>
    <w:rsid w:val="00F97B37"/>
    <w:rsid w:val="00FB1BD0"/>
    <w:rsid w:val="00FC262C"/>
    <w:rsid w:val="00FE6181"/>
    <w:rsid w:val="00FE7305"/>
    <w:rsid w:val="00FF1BE9"/>
    <w:rsid w:val="00FF4F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B2C386"/>
  <w15:docId w15:val="{964FE830-65D8-4A61-A53B-E2D2378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010F6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10F6B"/>
    <w:rPr>
      <w:rFonts w:ascii="Tahoma" w:hAnsi="Tahoma" w:cs="Tahoma"/>
      <w:sz w:val="16"/>
      <w:szCs w:val="16"/>
    </w:rPr>
  </w:style>
  <w:style w:type="table" w:styleId="TabelacomGrelha">
    <w:name w:val="Table Grid"/>
    <w:basedOn w:val="Tabelanormal"/>
    <w:uiPriority w:val="59"/>
    <w:rsid w:val="004B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3C2A"/>
    <w:pPr>
      <w:ind w:left="720"/>
      <w:contextualSpacing/>
    </w:pPr>
    <w:rPr>
      <w:lang w:val="en-US"/>
    </w:rPr>
  </w:style>
  <w:style w:type="paragraph" w:styleId="Cabealho">
    <w:name w:val="header"/>
    <w:basedOn w:val="Normal"/>
    <w:link w:val="CabealhoCarter"/>
    <w:uiPriority w:val="99"/>
    <w:unhideWhenUsed/>
    <w:rsid w:val="00053A7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53A79"/>
  </w:style>
  <w:style w:type="paragraph" w:styleId="Rodap">
    <w:name w:val="footer"/>
    <w:basedOn w:val="Normal"/>
    <w:link w:val="RodapCarter"/>
    <w:uiPriority w:val="99"/>
    <w:unhideWhenUsed/>
    <w:rsid w:val="00053A7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53A79"/>
  </w:style>
  <w:style w:type="paragraph" w:styleId="Corpodetexto">
    <w:name w:val="Body Text"/>
    <w:basedOn w:val="Normal"/>
    <w:link w:val="CorpodetextoCarter"/>
    <w:rsid w:val="00A4296C"/>
    <w:pPr>
      <w:spacing w:after="0" w:line="240" w:lineRule="auto"/>
      <w:jc w:val="both"/>
    </w:pPr>
    <w:rPr>
      <w:rFonts w:ascii="Arial" w:eastAsia="Times New Roman" w:hAnsi="Arial" w:cs="Arial"/>
      <w:szCs w:val="24"/>
      <w:lang w:val="pt-PT"/>
    </w:rPr>
  </w:style>
  <w:style w:type="character" w:customStyle="1" w:styleId="CorpodetextoCarter">
    <w:name w:val="Corpo de texto Caráter"/>
    <w:basedOn w:val="Tipodeletrapredefinidodopargrafo"/>
    <w:link w:val="Corpodetexto"/>
    <w:rsid w:val="00A4296C"/>
    <w:rPr>
      <w:rFonts w:ascii="Arial" w:eastAsia="Times New Roman" w:hAnsi="Arial" w:cs="Arial"/>
      <w:szCs w:val="24"/>
    </w:rPr>
  </w:style>
  <w:style w:type="paragraph" w:styleId="Textodenotaderodap">
    <w:name w:val="footnote text"/>
    <w:basedOn w:val="Normal"/>
    <w:link w:val="TextodenotaderodapCarter"/>
    <w:uiPriority w:val="99"/>
    <w:semiHidden/>
    <w:unhideWhenUsed/>
    <w:rsid w:val="003E4C0B"/>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E4C0B"/>
    <w:rPr>
      <w:sz w:val="20"/>
      <w:szCs w:val="20"/>
      <w:lang w:val="en-GB"/>
    </w:rPr>
  </w:style>
  <w:style w:type="character" w:styleId="Refdenotaderodap">
    <w:name w:val="footnote reference"/>
    <w:basedOn w:val="Tipodeletrapredefinidodopargrafo"/>
    <w:uiPriority w:val="99"/>
    <w:semiHidden/>
    <w:unhideWhenUsed/>
    <w:rsid w:val="003E4C0B"/>
    <w:rPr>
      <w:vertAlign w:val="superscript"/>
    </w:rPr>
  </w:style>
  <w:style w:type="character" w:styleId="Hiperligao">
    <w:name w:val="Hyperlink"/>
    <w:basedOn w:val="Tipodeletrapredefinidodopargrafo"/>
    <w:uiPriority w:val="99"/>
    <w:unhideWhenUsed/>
    <w:rsid w:val="0006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3396">
      <w:bodyDiv w:val="1"/>
      <w:marLeft w:val="0"/>
      <w:marRight w:val="0"/>
      <w:marTop w:val="0"/>
      <w:marBottom w:val="0"/>
      <w:divBdr>
        <w:top w:val="none" w:sz="0" w:space="0" w:color="auto"/>
        <w:left w:val="none" w:sz="0" w:space="0" w:color="auto"/>
        <w:bottom w:val="none" w:sz="0" w:space="0" w:color="auto"/>
        <w:right w:val="none" w:sz="0" w:space="0" w:color="auto"/>
      </w:divBdr>
    </w:div>
    <w:div w:id="1165707813">
      <w:bodyDiv w:val="1"/>
      <w:marLeft w:val="0"/>
      <w:marRight w:val="0"/>
      <w:marTop w:val="0"/>
      <w:marBottom w:val="0"/>
      <w:divBdr>
        <w:top w:val="none" w:sz="0" w:space="0" w:color="auto"/>
        <w:left w:val="none" w:sz="0" w:space="0" w:color="auto"/>
        <w:bottom w:val="none" w:sz="0" w:space="0" w:color="auto"/>
        <w:right w:val="none" w:sz="0" w:space="0" w:color="auto"/>
      </w:divBdr>
    </w:div>
    <w:div w:id="14597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miclear.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mip.eu"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iclear.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mip.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B338-4214-4ECB-8D3F-EC498DF3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omip</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Claro</dc:creator>
  <cp:lastModifiedBy>Sara Raínho [OMIP]</cp:lastModifiedBy>
  <cp:revision>7</cp:revision>
  <cp:lastPrinted>2021-04-13T17:29:00Z</cp:lastPrinted>
  <dcterms:created xsi:type="dcterms:W3CDTF">2020-06-17T09:51:00Z</dcterms:created>
  <dcterms:modified xsi:type="dcterms:W3CDTF">2021-04-13T17:29:00Z</dcterms:modified>
</cp:coreProperties>
</file>